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640" w:firstLineChars="200"/>
        <w:jc w:val="center"/>
        <w:rPr>
          <w:color w:val="auto"/>
          <w:sz w:val="32"/>
          <w:szCs w:val="32"/>
        </w:rPr>
      </w:pPr>
      <w:r>
        <w:rPr>
          <w:rFonts w:hint="eastAsia" w:eastAsia="黑体"/>
          <w:color w:val="auto"/>
          <w:sz w:val="32"/>
          <w:szCs w:val="32"/>
          <w:lang w:val="en-US" w:eastAsia="zh-CN"/>
        </w:rPr>
        <w:t>硕士</w:t>
      </w:r>
      <w:r>
        <w:rPr>
          <w:rFonts w:hint="eastAsia" w:eastAsia="黑体"/>
          <w:color w:val="auto"/>
          <w:sz w:val="32"/>
          <w:szCs w:val="32"/>
        </w:rPr>
        <w:t>培养计划</w:t>
      </w:r>
      <w:r>
        <w:rPr>
          <w:rFonts w:hint="eastAsia" w:eastAsia="黑体"/>
          <w:color w:val="auto"/>
          <w:sz w:val="32"/>
          <w:szCs w:val="32"/>
          <w:lang w:val="en-US" w:eastAsia="zh-CN"/>
        </w:rPr>
        <w:t xml:space="preserve"> Master </w:t>
      </w:r>
      <w:r>
        <w:rPr>
          <w:rFonts w:hint="eastAsia"/>
          <w:color w:val="auto"/>
          <w:kern w:val="0"/>
          <w:sz w:val="32"/>
          <w:szCs w:val="32"/>
        </w:rPr>
        <w:t xml:space="preserve"> </w:t>
      </w:r>
      <w:r>
        <w:rPr>
          <w:color w:val="auto"/>
          <w:sz w:val="32"/>
          <w:szCs w:val="32"/>
        </w:rPr>
        <w:t xml:space="preserve">Program </w:t>
      </w:r>
      <w:r>
        <w:rPr>
          <w:rFonts w:hint="eastAsia" w:eastAsia="黑体"/>
          <w:color w:val="auto"/>
          <w:sz w:val="32"/>
          <w:szCs w:val="32"/>
        </w:rPr>
        <w:t>（</w:t>
      </w:r>
      <w:r>
        <w:rPr>
          <w:rFonts w:hint="eastAsia" w:eastAsia="黑体"/>
          <w:color w:val="auto"/>
          <w:sz w:val="32"/>
          <w:szCs w:val="32"/>
          <w:lang w:val="en-US" w:eastAsia="zh-CN"/>
        </w:rPr>
        <w:t>2022</w:t>
      </w:r>
      <w:r>
        <w:rPr>
          <w:rFonts w:hint="eastAsia" w:eastAsia="黑体"/>
          <w:color w:val="auto"/>
          <w:sz w:val="32"/>
          <w:szCs w:val="32"/>
        </w:rPr>
        <w:t>）</w:t>
      </w:r>
    </w:p>
    <w:p>
      <w:pPr>
        <w:spacing w:line="300" w:lineRule="auto"/>
        <w:ind w:firstLine="640" w:firstLineChars="200"/>
        <w:rPr>
          <w:color w:val="auto"/>
          <w:sz w:val="32"/>
          <w:szCs w:val="32"/>
        </w:rPr>
      </w:pPr>
      <w:r>
        <w:rPr>
          <w:rFonts w:hint="eastAsia" w:eastAsia="黑体"/>
          <w:color w:val="auto"/>
          <w:sz w:val="32"/>
          <w:szCs w:val="32"/>
        </w:rPr>
        <w:t>一、学制及学习年限</w:t>
      </w:r>
    </w:p>
    <w:p>
      <w:pPr>
        <w:spacing w:line="360" w:lineRule="auto"/>
        <w:ind w:firstLine="480" w:firstLineChars="200"/>
        <w:rPr>
          <w:sz w:val="24"/>
          <w:szCs w:val="22"/>
        </w:rPr>
      </w:pPr>
      <w:r>
        <w:rPr>
          <w:sz w:val="24"/>
          <w:szCs w:val="22"/>
        </w:rPr>
        <w:t>全日制硕士专业学位的学制为3年，</w:t>
      </w:r>
      <w:r>
        <w:rPr>
          <w:rFonts w:hint="eastAsia" w:ascii="宋体" w:hAnsi="宋体"/>
          <w:spacing w:val="-6"/>
          <w:sz w:val="24"/>
        </w:rPr>
        <w:t>学位申请的</w:t>
      </w:r>
      <w:r>
        <w:rPr>
          <w:rFonts w:ascii="宋体" w:hAnsi="宋体"/>
          <w:spacing w:val="-6"/>
          <w:sz w:val="24"/>
        </w:rPr>
        <w:t>最长年限</w:t>
      </w:r>
      <w:r>
        <w:rPr>
          <w:sz w:val="24"/>
          <w:szCs w:val="22"/>
        </w:rPr>
        <w:t>（含休学和保留学籍）为5年。经学校批准和保留学籍的学生，复学后最短学习年限须相应延长。</w:t>
      </w:r>
    </w:p>
    <w:p>
      <w:pPr>
        <w:spacing w:line="360" w:lineRule="auto"/>
        <w:ind w:firstLine="480" w:firstLineChars="200"/>
        <w:rPr>
          <w:sz w:val="24"/>
          <w:szCs w:val="22"/>
        </w:rPr>
      </w:pPr>
      <w:r>
        <w:rPr>
          <w:sz w:val="24"/>
          <w:szCs w:val="22"/>
        </w:rPr>
        <w:t xml:space="preserve">The normal study system is </w:t>
      </w:r>
      <w:r>
        <w:rPr>
          <w:rFonts w:hint="eastAsia"/>
          <w:sz w:val="24"/>
          <w:szCs w:val="22"/>
          <w:lang w:val="en-US" w:eastAsia="zh-CN"/>
        </w:rPr>
        <w:t>3</w:t>
      </w:r>
      <w:r>
        <w:rPr>
          <w:sz w:val="24"/>
          <w:szCs w:val="22"/>
        </w:rPr>
        <w:t xml:space="preserve"> years, while the maximum duration (including suspension and retainment) is</w:t>
      </w:r>
      <w:r>
        <w:rPr>
          <w:rFonts w:hint="eastAsia"/>
          <w:sz w:val="24"/>
          <w:szCs w:val="22"/>
          <w:lang w:val="en-US" w:eastAsia="zh-CN"/>
        </w:rPr>
        <w:t xml:space="preserve"> 5</w:t>
      </w:r>
      <w:r>
        <w:rPr>
          <w:sz w:val="24"/>
          <w:szCs w:val="22"/>
        </w:rPr>
        <w:t xml:space="preserve"> years. The shortest duration of studies should be extended accordingly when the doctoral students who have been approved by the university to suspend or reinstate their studies.</w:t>
      </w:r>
    </w:p>
    <w:p>
      <w:pPr>
        <w:spacing w:line="360" w:lineRule="auto"/>
        <w:ind w:firstLine="480" w:firstLineChars="200"/>
        <w:rPr>
          <w:sz w:val="24"/>
          <w:szCs w:val="22"/>
        </w:rPr>
      </w:pPr>
      <w:r>
        <w:rPr>
          <w:sz w:val="24"/>
          <w:szCs w:val="22"/>
        </w:rPr>
        <w:t>在满足培养方案要求的基础上，允许硕士生申请提前毕业，允许提前毕业的具体条件如下：</w:t>
      </w:r>
    </w:p>
    <w:p>
      <w:pPr>
        <w:spacing w:line="360" w:lineRule="auto"/>
        <w:ind w:firstLine="480" w:firstLineChars="200"/>
        <w:rPr>
          <w:sz w:val="24"/>
          <w:szCs w:val="22"/>
        </w:rPr>
      </w:pPr>
      <w:r>
        <w:rPr>
          <w:sz w:val="24"/>
          <w:szCs w:val="22"/>
        </w:rPr>
        <w:t xml:space="preserve">On the basis of meeting the requirements of the </w:t>
      </w:r>
      <w:r>
        <w:rPr>
          <w:rFonts w:hint="eastAsia"/>
          <w:sz w:val="24"/>
          <w:szCs w:val="22"/>
          <w:lang w:val="en-US" w:eastAsia="zh-CN"/>
        </w:rPr>
        <w:t>cultivation plan</w:t>
      </w:r>
      <w:r>
        <w:rPr>
          <w:sz w:val="24"/>
          <w:szCs w:val="22"/>
        </w:rPr>
        <w:t>, master students are allowed to apply for early graduation. The specific conditions for early graduation are as follows:</w:t>
      </w:r>
    </w:p>
    <w:p>
      <w:pPr>
        <w:numPr>
          <w:ilvl w:val="0"/>
          <w:numId w:val="1"/>
        </w:numPr>
        <w:spacing w:line="360" w:lineRule="auto"/>
        <w:ind w:firstLine="480" w:firstLineChars="200"/>
        <w:rPr>
          <w:sz w:val="24"/>
          <w:szCs w:val="22"/>
        </w:rPr>
      </w:pPr>
      <w:r>
        <w:rPr>
          <w:sz w:val="24"/>
          <w:szCs w:val="22"/>
        </w:rPr>
        <w:t>提前毕业的最长提前时间不超过0.5年；</w:t>
      </w:r>
    </w:p>
    <w:p>
      <w:pPr>
        <w:numPr>
          <w:ilvl w:val="0"/>
          <w:numId w:val="0"/>
        </w:numPr>
        <w:spacing w:line="360" w:lineRule="auto"/>
        <w:rPr>
          <w:rFonts w:hint="eastAsia" w:eastAsia="宋体"/>
          <w:sz w:val="24"/>
          <w:szCs w:val="22"/>
          <w:lang w:val="en-US" w:eastAsia="zh-CN"/>
        </w:rPr>
      </w:pPr>
      <w:r>
        <w:rPr>
          <w:sz w:val="24"/>
          <w:szCs w:val="22"/>
        </w:rPr>
        <w:t xml:space="preserve">The longest advance time for early graduation is no more than </w:t>
      </w:r>
      <w:r>
        <w:rPr>
          <w:rFonts w:hint="eastAsia"/>
          <w:sz w:val="24"/>
          <w:szCs w:val="22"/>
          <w:lang w:val="en-US" w:eastAsia="zh-CN"/>
        </w:rPr>
        <w:t>half a year.</w:t>
      </w:r>
    </w:p>
    <w:p>
      <w:pPr>
        <w:numPr>
          <w:ilvl w:val="0"/>
          <w:numId w:val="1"/>
        </w:numPr>
        <w:spacing w:line="360" w:lineRule="auto"/>
        <w:ind w:left="0" w:leftChars="0" w:firstLine="480" w:firstLineChars="200"/>
        <w:rPr>
          <w:sz w:val="24"/>
          <w:szCs w:val="22"/>
        </w:rPr>
      </w:pPr>
      <w:r>
        <w:rPr>
          <w:sz w:val="24"/>
          <w:szCs w:val="22"/>
        </w:rPr>
        <w:t>修课学分不低于</w:t>
      </w:r>
      <w:r>
        <w:rPr>
          <w:b/>
          <w:bCs/>
          <w:sz w:val="24"/>
          <w:szCs w:val="22"/>
        </w:rPr>
        <w:t>25</w:t>
      </w:r>
      <w:r>
        <w:rPr>
          <w:sz w:val="24"/>
          <w:szCs w:val="22"/>
        </w:rPr>
        <w:t>学分，其中学位课程学分不低于</w:t>
      </w:r>
      <w:r>
        <w:rPr>
          <w:rFonts w:hint="eastAsia"/>
          <w:b/>
          <w:bCs/>
          <w:sz w:val="24"/>
          <w:szCs w:val="22"/>
          <w:lang w:val="en-US" w:eastAsia="zh-CN"/>
        </w:rPr>
        <w:t>20</w:t>
      </w:r>
      <w:r>
        <w:rPr>
          <w:sz w:val="24"/>
          <w:szCs w:val="22"/>
        </w:rPr>
        <w:t>学分；</w:t>
      </w:r>
    </w:p>
    <w:p>
      <w:pPr>
        <w:numPr>
          <w:ilvl w:val="0"/>
          <w:numId w:val="0"/>
        </w:numPr>
        <w:spacing w:line="360" w:lineRule="auto"/>
        <w:rPr>
          <w:sz w:val="24"/>
          <w:szCs w:val="22"/>
        </w:rPr>
      </w:pPr>
      <w:r>
        <w:rPr>
          <w:sz w:val="24"/>
          <w:szCs w:val="22"/>
        </w:rPr>
        <w:t xml:space="preserve">The credits for taking courses shall not be less than 25 credits, of which the credits for degree courses shall not be less than </w:t>
      </w:r>
      <w:r>
        <w:rPr>
          <w:rFonts w:hint="eastAsia"/>
          <w:sz w:val="24"/>
          <w:szCs w:val="22"/>
          <w:lang w:val="en-US" w:eastAsia="zh-CN"/>
        </w:rPr>
        <w:t>20</w:t>
      </w:r>
      <w:r>
        <w:rPr>
          <w:sz w:val="24"/>
          <w:szCs w:val="22"/>
        </w:rPr>
        <w:t xml:space="preserve"> credits</w:t>
      </w:r>
    </w:p>
    <w:p>
      <w:pPr>
        <w:numPr>
          <w:ilvl w:val="0"/>
          <w:numId w:val="1"/>
        </w:numPr>
        <w:spacing w:line="360" w:lineRule="auto"/>
        <w:ind w:left="0" w:leftChars="0" w:firstLine="480" w:firstLineChars="200"/>
        <w:rPr>
          <w:sz w:val="24"/>
          <w:szCs w:val="22"/>
        </w:rPr>
      </w:pPr>
      <w:r>
        <w:rPr>
          <w:sz w:val="24"/>
          <w:szCs w:val="22"/>
        </w:rPr>
        <w:t>完成必修环节且获得相应学分；</w:t>
      </w:r>
    </w:p>
    <w:p>
      <w:pPr>
        <w:numPr>
          <w:ilvl w:val="0"/>
          <w:numId w:val="0"/>
        </w:numPr>
        <w:spacing w:line="360" w:lineRule="auto"/>
        <w:ind w:leftChars="200"/>
        <w:rPr>
          <w:sz w:val="24"/>
          <w:szCs w:val="22"/>
        </w:rPr>
      </w:pPr>
      <w:r>
        <w:rPr>
          <w:sz w:val="24"/>
          <w:szCs w:val="22"/>
        </w:rPr>
        <w:t>Complete the required</w:t>
      </w:r>
      <w:r>
        <w:rPr>
          <w:rFonts w:hint="eastAsia"/>
          <w:sz w:val="24"/>
          <w:szCs w:val="22"/>
          <w:lang w:val="en-US" w:eastAsia="zh-CN"/>
        </w:rPr>
        <w:t xml:space="preserve"> processes</w:t>
      </w:r>
      <w:r>
        <w:rPr>
          <w:sz w:val="24"/>
          <w:szCs w:val="22"/>
        </w:rPr>
        <w:t xml:space="preserve"> and get corresponding credits</w:t>
      </w:r>
    </w:p>
    <w:p>
      <w:pPr>
        <w:numPr>
          <w:ilvl w:val="0"/>
          <w:numId w:val="1"/>
        </w:numPr>
        <w:spacing w:line="360" w:lineRule="auto"/>
        <w:ind w:left="0" w:leftChars="0" w:firstLine="480" w:firstLineChars="200"/>
        <w:rPr>
          <w:sz w:val="24"/>
          <w:szCs w:val="22"/>
        </w:rPr>
      </w:pPr>
      <w:r>
        <w:rPr>
          <w:sz w:val="24"/>
          <w:szCs w:val="22"/>
        </w:rPr>
        <w:t>在《中国计算机学会推荐国际学术会议和期刊目录》中所列的A类学术会议或期刊上发表学术论文1篇及以上（要求研究生为第一作者），且获得授权发明专利或软件著作权一项（要求研究生排名第一，或导师排名第一且研究生排名第二）。《中国计算机学会推荐国际学术会议和期刊目录》以中国计算机学会学术工作委员会于硕士生入学或申请提前毕业的年度公布的目录为准；</w:t>
      </w:r>
    </w:p>
    <w:p>
      <w:pPr>
        <w:numPr>
          <w:ilvl w:val="0"/>
          <w:numId w:val="0"/>
        </w:numPr>
        <w:spacing w:line="360" w:lineRule="auto"/>
        <w:rPr>
          <w:sz w:val="24"/>
          <w:szCs w:val="22"/>
        </w:rPr>
      </w:pPr>
      <w:r>
        <w:rPr>
          <w:rFonts w:hint="eastAsia"/>
          <w:sz w:val="24"/>
          <w:szCs w:val="22"/>
        </w:rPr>
        <w:t xml:space="preserve">Publish one or more academic papers in Class A academic conferences or journals listed in the Catalogue of International Academic Conferences and Journals Recommended by </w:t>
      </w:r>
      <w:r>
        <w:rPr>
          <w:rFonts w:hint="eastAsia"/>
          <w:sz w:val="24"/>
          <w:szCs w:val="22"/>
          <w:lang w:val="en-US" w:eastAsia="zh-CN"/>
        </w:rPr>
        <w:t xml:space="preserve"> CCF </w:t>
      </w:r>
      <w:r>
        <w:rPr>
          <w:rFonts w:hint="eastAsia"/>
          <w:sz w:val="24"/>
          <w:szCs w:val="22"/>
        </w:rPr>
        <w:t>(graduate students are required to be the first authors), and obtain an authorized invention patent or software copyright (graduate students are required to rank first, or tutors rank first and graduate students rank second). The Catalogue of International Academic Conferences and Journals Recommended by china computer federation shall be subject to the catalogue published by china computer federation Academic Working Committee in the year when master students enter school or apply for early graduation;</w:t>
      </w:r>
    </w:p>
    <w:p>
      <w:pPr>
        <w:numPr>
          <w:ilvl w:val="0"/>
          <w:numId w:val="1"/>
        </w:numPr>
        <w:spacing w:line="360" w:lineRule="auto"/>
        <w:ind w:left="0" w:leftChars="0" w:firstLine="480" w:firstLineChars="200"/>
        <w:rPr>
          <w:rFonts w:hint="eastAsia"/>
          <w:sz w:val="24"/>
          <w:szCs w:val="22"/>
        </w:rPr>
      </w:pPr>
      <w:r>
        <w:rPr>
          <w:rFonts w:hint="eastAsia"/>
          <w:sz w:val="24"/>
          <w:szCs w:val="22"/>
        </w:rPr>
        <w:t>中文能力应当至少达到《国际汉语能力标准三级》水平。</w:t>
      </w:r>
    </w:p>
    <w:p>
      <w:pPr>
        <w:widowControl/>
        <w:spacing w:line="300" w:lineRule="auto"/>
        <w:ind w:firstLine="480" w:firstLineChars="200"/>
        <w:rPr>
          <w:rFonts w:hint="eastAsia"/>
          <w:sz w:val="24"/>
          <w:szCs w:val="22"/>
        </w:rPr>
      </w:pPr>
      <w:r>
        <w:rPr>
          <w:rFonts w:hint="eastAsia"/>
          <w:sz w:val="24"/>
          <w:szCs w:val="22"/>
          <w:lang w:val="en-US" w:eastAsia="zh-CN"/>
        </w:rPr>
        <w:t>Student must pass HSK 3 or higher in terms of Chinese level.</w:t>
      </w:r>
    </w:p>
    <w:p>
      <w:pPr>
        <w:numPr>
          <w:ilvl w:val="0"/>
          <w:numId w:val="1"/>
        </w:numPr>
        <w:spacing w:line="360" w:lineRule="auto"/>
        <w:ind w:left="0" w:leftChars="0" w:firstLine="480" w:firstLineChars="200"/>
        <w:rPr>
          <w:sz w:val="24"/>
          <w:szCs w:val="22"/>
        </w:rPr>
      </w:pPr>
      <w:r>
        <w:rPr>
          <w:sz w:val="24"/>
          <w:szCs w:val="22"/>
        </w:rPr>
        <w:t>导师同意并推荐，成果由学院学术委员会认定。</w:t>
      </w:r>
    </w:p>
    <w:p>
      <w:pPr>
        <w:numPr>
          <w:ilvl w:val="0"/>
          <w:numId w:val="0"/>
        </w:numPr>
        <w:spacing w:line="360" w:lineRule="auto"/>
        <w:ind w:leftChars="200"/>
        <w:rPr>
          <w:sz w:val="24"/>
          <w:szCs w:val="22"/>
        </w:rPr>
      </w:pPr>
      <w:r>
        <w:rPr>
          <w:sz w:val="24"/>
          <w:szCs w:val="22"/>
        </w:rPr>
        <w:t>The tutor agrees and recommends, and the results are recognized by the academic committee of the college.</w:t>
      </w:r>
    </w:p>
    <w:p>
      <w:pPr>
        <w:numPr>
          <w:ilvl w:val="0"/>
          <w:numId w:val="2"/>
        </w:numPr>
        <w:spacing w:line="360" w:lineRule="auto"/>
        <w:ind w:leftChars="200"/>
        <w:rPr>
          <w:rFonts w:hint="eastAsia"/>
          <w:sz w:val="24"/>
          <w:szCs w:val="22"/>
        </w:rPr>
      </w:pPr>
      <w:r>
        <w:rPr>
          <w:rFonts w:hint="eastAsia"/>
          <w:sz w:val="24"/>
          <w:szCs w:val="22"/>
        </w:rPr>
        <w:t>课程设置与学分要求</w:t>
      </w:r>
    </w:p>
    <w:p>
      <w:pPr>
        <w:numPr>
          <w:ilvl w:val="0"/>
          <w:numId w:val="0"/>
        </w:numPr>
        <w:spacing w:line="360" w:lineRule="auto"/>
        <w:rPr>
          <w:rFonts w:hint="eastAsia"/>
          <w:sz w:val="24"/>
          <w:szCs w:val="22"/>
          <w:lang w:val="en-US" w:eastAsia="zh-CN"/>
        </w:rPr>
      </w:pPr>
      <w:r>
        <w:rPr>
          <w:sz w:val="24"/>
          <w:szCs w:val="22"/>
        </w:rPr>
        <w:t>硕士生修课总学分不低于</w:t>
      </w:r>
      <w:r>
        <w:rPr>
          <w:b/>
          <w:bCs/>
          <w:sz w:val="24"/>
          <w:szCs w:val="22"/>
        </w:rPr>
        <w:t>25</w:t>
      </w:r>
      <w:r>
        <w:rPr>
          <w:sz w:val="24"/>
          <w:szCs w:val="22"/>
        </w:rPr>
        <w:t>学分，其中学位课程学分不低于</w:t>
      </w:r>
      <w:r>
        <w:rPr>
          <w:rFonts w:hint="eastAsia"/>
          <w:b/>
          <w:bCs/>
          <w:sz w:val="24"/>
          <w:szCs w:val="22"/>
          <w:lang w:val="en-US" w:eastAsia="zh-CN"/>
        </w:rPr>
        <w:t>20</w:t>
      </w:r>
      <w:r>
        <w:rPr>
          <w:sz w:val="24"/>
          <w:szCs w:val="22"/>
        </w:rPr>
        <w:t>学分</w:t>
      </w:r>
      <w:r>
        <w:rPr>
          <w:rFonts w:hint="eastAsia"/>
          <w:sz w:val="24"/>
          <w:szCs w:val="22"/>
          <w:lang w:val="en-US" w:eastAsia="zh-CN"/>
        </w:rPr>
        <w:t>.</w:t>
      </w:r>
    </w:p>
    <w:p>
      <w:pPr>
        <w:widowControl/>
        <w:spacing w:line="300" w:lineRule="auto"/>
        <w:ind w:firstLine="420" w:firstLineChars="200"/>
        <w:rPr>
          <w:rFonts w:hint="eastAsia"/>
          <w:color w:val="auto"/>
          <w:szCs w:val="21"/>
          <w:lang w:val="en-US" w:eastAsia="zh-CN"/>
        </w:rPr>
      </w:pPr>
      <w:r>
        <w:rPr>
          <w:color w:val="auto"/>
          <w:szCs w:val="21"/>
        </w:rPr>
        <w:t xml:space="preserve">The total credits of doctoral courses get by students should be no less than </w:t>
      </w:r>
      <w:r>
        <w:rPr>
          <w:rFonts w:hint="eastAsia"/>
          <w:color w:val="auto"/>
          <w:szCs w:val="21"/>
          <w:lang w:val="en-US" w:eastAsia="zh-CN"/>
        </w:rPr>
        <w:t>25</w:t>
      </w:r>
      <w:r>
        <w:rPr>
          <w:color w:val="auto"/>
          <w:szCs w:val="21"/>
        </w:rPr>
        <w:t xml:space="preserve">, including no less than </w:t>
      </w:r>
      <w:r>
        <w:rPr>
          <w:rFonts w:hint="eastAsia"/>
          <w:color w:val="auto"/>
          <w:szCs w:val="21"/>
          <w:lang w:val="en-US" w:eastAsia="zh-CN"/>
        </w:rPr>
        <w:t xml:space="preserve">20 </w:t>
      </w:r>
      <w:r>
        <w:rPr>
          <w:color w:val="auto"/>
          <w:szCs w:val="21"/>
        </w:rPr>
        <w:t xml:space="preserve">credits for </w:t>
      </w:r>
      <w:r>
        <w:rPr>
          <w:rFonts w:hint="eastAsia"/>
          <w:color w:val="auto"/>
          <w:szCs w:val="21"/>
          <w:lang w:val="en-US" w:eastAsia="zh-CN"/>
        </w:rPr>
        <w:t xml:space="preserve">degree </w:t>
      </w:r>
      <w:r>
        <w:rPr>
          <w:color w:val="auto"/>
          <w:szCs w:val="21"/>
        </w:rPr>
        <w:t>courses</w:t>
      </w:r>
      <w:r>
        <w:rPr>
          <w:rFonts w:hint="eastAsia"/>
          <w:color w:val="auto"/>
          <w:szCs w:val="21"/>
          <w:lang w:val="en-US" w:eastAsia="zh-CN"/>
        </w:rPr>
        <w:t>.</w:t>
      </w:r>
    </w:p>
    <w:tbl>
      <w:tblPr>
        <w:tblStyle w:val="3"/>
        <w:tblW w:w="106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724"/>
        <w:gridCol w:w="1312"/>
        <w:gridCol w:w="3054"/>
        <w:gridCol w:w="517"/>
        <w:gridCol w:w="564"/>
        <w:gridCol w:w="677"/>
        <w:gridCol w:w="714"/>
        <w:gridCol w:w="1454"/>
        <w:gridCol w:w="8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459" w:type="dxa"/>
            <w:gridSpan w:val="2"/>
            <w:noWrap w:val="0"/>
            <w:vAlign w:val="center"/>
          </w:tcPr>
          <w:p>
            <w:pPr>
              <w:widowControl/>
              <w:snapToGrid w:val="0"/>
              <w:jc w:val="center"/>
              <w:rPr>
                <w:b/>
                <w:bCs/>
                <w:kern w:val="0"/>
                <w:szCs w:val="21"/>
              </w:rPr>
            </w:pPr>
            <w:r>
              <w:rPr>
                <w:b/>
                <w:bCs/>
                <w:kern w:val="0"/>
                <w:szCs w:val="21"/>
              </w:rPr>
              <w:t>课程</w:t>
            </w:r>
          </w:p>
          <w:p>
            <w:pPr>
              <w:widowControl/>
              <w:snapToGrid w:val="0"/>
              <w:jc w:val="center"/>
              <w:rPr>
                <w:b/>
                <w:bCs/>
                <w:kern w:val="0"/>
                <w:szCs w:val="21"/>
              </w:rPr>
            </w:pPr>
            <w:r>
              <w:rPr>
                <w:b/>
                <w:bCs/>
                <w:kern w:val="0"/>
                <w:szCs w:val="21"/>
              </w:rPr>
              <w:t>类别</w:t>
            </w:r>
          </w:p>
          <w:p>
            <w:pPr>
              <w:widowControl/>
              <w:snapToGrid w:val="0"/>
              <w:jc w:val="center"/>
              <w:rPr>
                <w:b/>
                <w:bCs/>
                <w:kern w:val="0"/>
                <w:szCs w:val="21"/>
              </w:rPr>
            </w:pPr>
            <w:r>
              <w:rPr>
                <w:color w:val="auto"/>
                <w:kern w:val="0"/>
                <w:sz w:val="20"/>
                <w:szCs w:val="20"/>
              </w:rPr>
              <w:t>Course Category</w:t>
            </w:r>
          </w:p>
        </w:tc>
        <w:tc>
          <w:tcPr>
            <w:tcW w:w="1312" w:type="dxa"/>
            <w:noWrap w:val="0"/>
            <w:tcMar>
              <w:top w:w="0" w:type="dxa"/>
              <w:left w:w="51" w:type="dxa"/>
              <w:bottom w:w="0" w:type="dxa"/>
              <w:right w:w="51" w:type="dxa"/>
            </w:tcMar>
            <w:vAlign w:val="center"/>
          </w:tcPr>
          <w:p>
            <w:pPr>
              <w:widowControl/>
              <w:snapToGrid w:val="0"/>
              <w:jc w:val="center"/>
              <w:rPr>
                <w:b/>
                <w:bCs/>
                <w:kern w:val="0"/>
                <w:szCs w:val="21"/>
              </w:rPr>
            </w:pPr>
            <w:r>
              <w:rPr>
                <w:b/>
                <w:bCs/>
                <w:kern w:val="0"/>
                <w:szCs w:val="21"/>
              </w:rPr>
              <w:t>课程编号</w:t>
            </w:r>
          </w:p>
          <w:p>
            <w:pPr>
              <w:widowControl/>
              <w:snapToGrid w:val="0"/>
              <w:jc w:val="center"/>
              <w:rPr>
                <w:b/>
                <w:bCs/>
                <w:kern w:val="0"/>
                <w:szCs w:val="21"/>
              </w:rPr>
            </w:pPr>
            <w:r>
              <w:rPr>
                <w:color w:val="auto"/>
                <w:kern w:val="0"/>
                <w:sz w:val="20"/>
                <w:szCs w:val="20"/>
              </w:rPr>
              <w:t>Course Number</w:t>
            </w:r>
            <w:r>
              <w:rPr>
                <w:rFonts w:hint="eastAsia"/>
                <w:color w:val="auto"/>
                <w:kern w:val="0"/>
                <w:sz w:val="20"/>
                <w:szCs w:val="20"/>
              </w:rPr>
              <w:t>s</w:t>
            </w:r>
          </w:p>
        </w:tc>
        <w:tc>
          <w:tcPr>
            <w:tcW w:w="3054" w:type="dxa"/>
            <w:noWrap w:val="0"/>
            <w:vAlign w:val="center"/>
          </w:tcPr>
          <w:p>
            <w:pPr>
              <w:widowControl/>
              <w:snapToGrid w:val="0"/>
              <w:jc w:val="center"/>
              <w:rPr>
                <w:b/>
                <w:bCs/>
                <w:kern w:val="0"/>
                <w:szCs w:val="21"/>
              </w:rPr>
            </w:pPr>
            <w:r>
              <w:rPr>
                <w:b/>
                <w:bCs/>
                <w:kern w:val="0"/>
                <w:szCs w:val="21"/>
              </w:rPr>
              <w:t>课程名称</w:t>
            </w:r>
          </w:p>
          <w:p>
            <w:pPr>
              <w:widowControl/>
              <w:snapToGrid w:val="0"/>
              <w:jc w:val="center"/>
              <w:rPr>
                <w:b/>
                <w:bCs/>
                <w:kern w:val="0"/>
                <w:szCs w:val="21"/>
              </w:rPr>
            </w:pPr>
            <w:r>
              <w:rPr>
                <w:color w:val="auto"/>
                <w:kern w:val="0"/>
                <w:sz w:val="20"/>
                <w:szCs w:val="20"/>
              </w:rPr>
              <w:t>Courses</w:t>
            </w:r>
          </w:p>
        </w:tc>
        <w:tc>
          <w:tcPr>
            <w:tcW w:w="517" w:type="dxa"/>
            <w:noWrap w:val="0"/>
            <w:vAlign w:val="center"/>
          </w:tcPr>
          <w:p>
            <w:pPr>
              <w:widowControl/>
              <w:snapToGrid w:val="0"/>
              <w:jc w:val="center"/>
              <w:rPr>
                <w:b/>
                <w:bCs/>
                <w:kern w:val="0"/>
                <w:szCs w:val="21"/>
              </w:rPr>
            </w:pPr>
            <w:r>
              <w:rPr>
                <w:b/>
                <w:bCs/>
                <w:kern w:val="0"/>
                <w:szCs w:val="21"/>
              </w:rPr>
              <w:t>学时</w:t>
            </w:r>
          </w:p>
          <w:p>
            <w:pPr>
              <w:widowControl/>
              <w:snapToGrid w:val="0"/>
              <w:jc w:val="center"/>
              <w:rPr>
                <w:rFonts w:hint="eastAsia" w:eastAsia="宋体"/>
                <w:b/>
                <w:bCs/>
                <w:kern w:val="0"/>
                <w:szCs w:val="21"/>
                <w:lang w:val="en-US" w:eastAsia="zh-CN"/>
              </w:rPr>
            </w:pPr>
            <w:r>
              <w:rPr>
                <w:rFonts w:hint="eastAsia"/>
                <w:color w:val="auto"/>
                <w:kern w:val="0"/>
                <w:sz w:val="20"/>
                <w:szCs w:val="20"/>
                <w:lang w:val="en-US" w:eastAsia="zh-CN"/>
              </w:rPr>
              <w:t>Teaching</w:t>
            </w:r>
            <w:r>
              <w:rPr>
                <w:color w:val="auto"/>
                <w:kern w:val="0"/>
                <w:sz w:val="20"/>
                <w:szCs w:val="20"/>
              </w:rPr>
              <w:t xml:space="preserve"> hour</w:t>
            </w:r>
            <w:r>
              <w:rPr>
                <w:rFonts w:hint="eastAsia"/>
                <w:color w:val="auto"/>
                <w:kern w:val="0"/>
                <w:sz w:val="20"/>
                <w:szCs w:val="20"/>
                <w:lang w:val="en-US" w:eastAsia="zh-CN"/>
              </w:rPr>
              <w:t>s</w:t>
            </w:r>
          </w:p>
        </w:tc>
        <w:tc>
          <w:tcPr>
            <w:tcW w:w="564" w:type="dxa"/>
            <w:noWrap w:val="0"/>
            <w:vAlign w:val="center"/>
          </w:tcPr>
          <w:p>
            <w:pPr>
              <w:widowControl/>
              <w:snapToGrid w:val="0"/>
              <w:jc w:val="center"/>
              <w:rPr>
                <w:b/>
                <w:bCs/>
                <w:kern w:val="0"/>
                <w:szCs w:val="21"/>
              </w:rPr>
            </w:pPr>
            <w:r>
              <w:rPr>
                <w:b/>
                <w:bCs/>
                <w:kern w:val="0"/>
                <w:szCs w:val="21"/>
              </w:rPr>
              <w:t>学分</w:t>
            </w:r>
          </w:p>
          <w:p>
            <w:pPr>
              <w:widowControl/>
              <w:snapToGrid w:val="0"/>
              <w:jc w:val="center"/>
              <w:rPr>
                <w:rFonts w:hint="default" w:eastAsia="宋体"/>
                <w:b/>
                <w:bCs/>
                <w:kern w:val="0"/>
                <w:szCs w:val="21"/>
                <w:lang w:val="en-US" w:eastAsia="zh-CN"/>
              </w:rPr>
            </w:pPr>
            <w:r>
              <w:rPr>
                <w:rFonts w:hint="eastAsia"/>
                <w:b/>
                <w:bCs/>
                <w:kern w:val="0"/>
                <w:szCs w:val="21"/>
                <w:lang w:val="en-US" w:eastAsia="zh-CN"/>
              </w:rPr>
              <w:t>Credits</w:t>
            </w:r>
          </w:p>
        </w:tc>
        <w:tc>
          <w:tcPr>
            <w:tcW w:w="677" w:type="dxa"/>
            <w:noWrap w:val="0"/>
            <w:vAlign w:val="center"/>
          </w:tcPr>
          <w:p>
            <w:pPr>
              <w:widowControl/>
              <w:snapToGrid w:val="0"/>
              <w:jc w:val="center"/>
              <w:rPr>
                <w:b/>
                <w:bCs/>
                <w:kern w:val="0"/>
                <w:szCs w:val="21"/>
              </w:rPr>
            </w:pPr>
            <w:r>
              <w:rPr>
                <w:b/>
                <w:bCs/>
                <w:kern w:val="0"/>
                <w:szCs w:val="21"/>
              </w:rPr>
              <w:t>考核方式</w:t>
            </w:r>
          </w:p>
          <w:p>
            <w:pPr>
              <w:widowControl/>
              <w:snapToGrid w:val="0"/>
              <w:jc w:val="center"/>
              <w:rPr>
                <w:b/>
                <w:bCs/>
                <w:kern w:val="0"/>
                <w:szCs w:val="21"/>
              </w:rPr>
            </w:pPr>
            <w:r>
              <w:rPr>
                <w:color w:val="auto"/>
                <w:kern w:val="0"/>
                <w:sz w:val="20"/>
                <w:szCs w:val="20"/>
              </w:rPr>
              <w:t>Assessment methods</w:t>
            </w:r>
          </w:p>
        </w:tc>
        <w:tc>
          <w:tcPr>
            <w:tcW w:w="714" w:type="dxa"/>
            <w:noWrap w:val="0"/>
            <w:vAlign w:val="center"/>
          </w:tcPr>
          <w:p>
            <w:pPr>
              <w:widowControl/>
              <w:snapToGrid w:val="0"/>
              <w:jc w:val="center"/>
              <w:rPr>
                <w:b/>
                <w:bCs/>
                <w:kern w:val="0"/>
                <w:szCs w:val="21"/>
              </w:rPr>
            </w:pPr>
            <w:r>
              <w:rPr>
                <w:b/>
                <w:bCs/>
                <w:kern w:val="0"/>
                <w:szCs w:val="21"/>
              </w:rPr>
              <w:t>开课学期</w:t>
            </w:r>
          </w:p>
          <w:p>
            <w:pPr>
              <w:widowControl/>
              <w:snapToGrid w:val="0"/>
              <w:jc w:val="center"/>
              <w:rPr>
                <w:b/>
                <w:bCs/>
                <w:kern w:val="0"/>
                <w:szCs w:val="21"/>
              </w:rPr>
            </w:pPr>
            <w:r>
              <w:rPr>
                <w:color w:val="auto"/>
                <w:kern w:val="0"/>
                <w:sz w:val="20"/>
                <w:szCs w:val="20"/>
              </w:rPr>
              <w:t>Semester</w:t>
            </w:r>
          </w:p>
        </w:tc>
        <w:tc>
          <w:tcPr>
            <w:tcW w:w="1454" w:type="dxa"/>
            <w:noWrap w:val="0"/>
            <w:vAlign w:val="center"/>
          </w:tcPr>
          <w:p>
            <w:pPr>
              <w:widowControl/>
              <w:snapToGrid w:val="0"/>
              <w:jc w:val="center"/>
              <w:rPr>
                <w:b/>
                <w:bCs/>
                <w:kern w:val="0"/>
                <w:szCs w:val="21"/>
              </w:rPr>
            </w:pPr>
            <w:r>
              <w:rPr>
                <w:b/>
                <w:bCs/>
                <w:kern w:val="0"/>
                <w:szCs w:val="21"/>
              </w:rPr>
              <w:t>授课/组织单位</w:t>
            </w:r>
          </w:p>
          <w:p>
            <w:pPr>
              <w:widowControl/>
              <w:snapToGrid w:val="0"/>
              <w:jc w:val="center"/>
              <w:rPr>
                <w:b/>
                <w:bCs/>
                <w:kern w:val="0"/>
                <w:szCs w:val="21"/>
              </w:rPr>
            </w:pPr>
            <w:r>
              <w:rPr>
                <w:color w:val="auto"/>
                <w:kern w:val="0"/>
                <w:sz w:val="20"/>
                <w:szCs w:val="20"/>
              </w:rPr>
              <w:t>Lecturing Departments</w:t>
            </w:r>
          </w:p>
        </w:tc>
        <w:tc>
          <w:tcPr>
            <w:tcW w:w="867" w:type="dxa"/>
            <w:noWrap w:val="0"/>
            <w:vAlign w:val="center"/>
          </w:tcPr>
          <w:p>
            <w:pPr>
              <w:widowControl/>
              <w:snapToGrid w:val="0"/>
              <w:jc w:val="center"/>
              <w:rPr>
                <w:b/>
                <w:bCs/>
                <w:kern w:val="0"/>
                <w:szCs w:val="21"/>
              </w:rPr>
            </w:pPr>
            <w:r>
              <w:rPr>
                <w:b/>
                <w:bCs/>
                <w:kern w:val="0"/>
                <w:szCs w:val="21"/>
              </w:rPr>
              <w:t>备注</w:t>
            </w:r>
          </w:p>
          <w:p>
            <w:pPr>
              <w:widowControl/>
              <w:snapToGrid w:val="0"/>
              <w:jc w:val="center"/>
              <w:rPr>
                <w:rFonts w:hint="default" w:eastAsia="宋体"/>
                <w:b/>
                <w:bCs/>
                <w:kern w:val="0"/>
                <w:szCs w:val="21"/>
                <w:lang w:val="en-US" w:eastAsia="zh-CN"/>
              </w:rPr>
            </w:pPr>
            <w:r>
              <w:rPr>
                <w:rFonts w:hint="eastAsia"/>
                <w:b/>
                <w:bCs/>
                <w:kern w:val="0"/>
                <w:szCs w:val="21"/>
                <w:lang w:val="en-US" w:eastAsia="zh-CN"/>
              </w:rPr>
              <w:t>Memo</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735" w:type="dxa"/>
            <w:vMerge w:val="restart"/>
            <w:noWrap w:val="0"/>
            <w:vAlign w:val="center"/>
          </w:tcPr>
          <w:p>
            <w:pPr>
              <w:widowControl/>
              <w:snapToGrid w:val="0"/>
              <w:jc w:val="center"/>
              <w:rPr>
                <w:kern w:val="0"/>
                <w:szCs w:val="21"/>
              </w:rPr>
            </w:pPr>
            <w:r>
              <w:rPr>
                <w:kern w:val="0"/>
                <w:szCs w:val="21"/>
              </w:rPr>
              <w:t>学位课</w:t>
            </w:r>
          </w:p>
          <w:p>
            <w:pPr>
              <w:widowControl/>
              <w:snapToGrid w:val="0"/>
              <w:jc w:val="center"/>
              <w:rPr>
                <w:kern w:val="0"/>
                <w:szCs w:val="21"/>
              </w:rPr>
            </w:pPr>
            <w:r>
              <w:rPr>
                <w:color w:val="auto"/>
                <w:kern w:val="0"/>
                <w:szCs w:val="21"/>
              </w:rPr>
              <w:t>Degree Courses</w:t>
            </w:r>
          </w:p>
          <w:p>
            <w:pPr>
              <w:widowControl/>
              <w:snapToGrid w:val="0"/>
              <w:jc w:val="center"/>
              <w:rPr>
                <w:kern w:val="0"/>
                <w:szCs w:val="21"/>
              </w:rPr>
            </w:pPr>
            <w:r>
              <w:rPr>
                <w:kern w:val="0"/>
                <w:szCs w:val="21"/>
              </w:rPr>
              <w:t>(≥</w:t>
            </w:r>
            <w:r>
              <w:rPr>
                <w:rFonts w:hint="eastAsia"/>
                <w:kern w:val="0"/>
                <w:szCs w:val="21"/>
                <w:lang w:val="en-US" w:eastAsia="zh-CN"/>
              </w:rPr>
              <w:t>20</w:t>
            </w:r>
            <w:r>
              <w:rPr>
                <w:kern w:val="0"/>
                <w:szCs w:val="21"/>
              </w:rPr>
              <w:t>)</w:t>
            </w:r>
          </w:p>
        </w:tc>
        <w:tc>
          <w:tcPr>
            <w:tcW w:w="724" w:type="dxa"/>
            <w:vMerge w:val="restart"/>
            <w:noWrap w:val="0"/>
            <w:vAlign w:val="center"/>
          </w:tcPr>
          <w:p>
            <w:pPr>
              <w:widowControl/>
              <w:snapToGrid w:val="0"/>
              <w:jc w:val="center"/>
              <w:rPr>
                <w:kern w:val="0"/>
                <w:szCs w:val="21"/>
              </w:rPr>
            </w:pPr>
            <w:r>
              <w:rPr>
                <w:kern w:val="0"/>
                <w:szCs w:val="21"/>
              </w:rPr>
              <w:t>公共必修课</w:t>
            </w:r>
          </w:p>
          <w:p>
            <w:pPr>
              <w:widowControl/>
              <w:snapToGrid w:val="0"/>
              <w:jc w:val="center"/>
              <w:rPr>
                <w:kern w:val="0"/>
                <w:szCs w:val="21"/>
              </w:rPr>
            </w:pPr>
            <w:r>
              <w:rPr>
                <w:color w:val="auto"/>
                <w:kern w:val="0"/>
                <w:szCs w:val="21"/>
              </w:rPr>
              <w:t>Public compulsory course</w:t>
            </w:r>
          </w:p>
          <w:p>
            <w:pPr>
              <w:widowControl/>
              <w:snapToGrid w:val="0"/>
              <w:jc w:val="center"/>
              <w:rPr>
                <w:kern w:val="0"/>
                <w:szCs w:val="21"/>
              </w:rPr>
            </w:pPr>
            <w:r>
              <w:rPr>
                <w:kern w:val="0"/>
                <w:szCs w:val="21"/>
              </w:rPr>
              <w:t>(=</w:t>
            </w:r>
            <w:r>
              <w:rPr>
                <w:rFonts w:hint="eastAsia"/>
                <w:kern w:val="0"/>
                <w:szCs w:val="21"/>
                <w:lang w:val="en-US" w:eastAsia="zh-CN"/>
              </w:rPr>
              <w:t>4</w:t>
            </w:r>
            <w:r>
              <w:rPr>
                <w:kern w:val="0"/>
                <w:szCs w:val="21"/>
              </w:rPr>
              <w:t>)</w:t>
            </w:r>
          </w:p>
        </w:tc>
        <w:tc>
          <w:tcPr>
            <w:tcW w:w="1312" w:type="dxa"/>
            <w:noWrap w:val="0"/>
            <w:tcMar>
              <w:top w:w="0" w:type="dxa"/>
              <w:left w:w="51" w:type="dxa"/>
              <w:bottom w:w="0" w:type="dxa"/>
              <w:right w:w="51" w:type="dxa"/>
            </w:tcMar>
            <w:vAlign w:val="center"/>
          </w:tcPr>
          <w:p>
            <w:pPr>
              <w:widowControl/>
              <w:jc w:val="center"/>
              <w:rPr>
                <w:kern w:val="0"/>
                <w:szCs w:val="21"/>
              </w:rPr>
            </w:pPr>
            <w:r>
              <w:rPr>
                <w:kern w:val="0"/>
                <w:szCs w:val="21"/>
              </w:rPr>
              <w:t>yl202295001</w:t>
            </w:r>
          </w:p>
        </w:tc>
        <w:tc>
          <w:tcPr>
            <w:tcW w:w="3054" w:type="dxa"/>
            <w:noWrap w:val="0"/>
            <w:vAlign w:val="center"/>
          </w:tcPr>
          <w:p>
            <w:pPr>
              <w:widowControl/>
              <w:rPr>
                <w:kern w:val="0"/>
                <w:szCs w:val="21"/>
              </w:rPr>
            </w:pPr>
            <w:r>
              <w:rPr>
                <w:kern w:val="0"/>
                <w:szCs w:val="21"/>
              </w:rPr>
              <w:t>汉语</w:t>
            </w:r>
          </w:p>
          <w:p>
            <w:pPr>
              <w:widowControl/>
              <w:rPr>
                <w:kern w:val="0"/>
                <w:szCs w:val="21"/>
              </w:rPr>
            </w:pPr>
            <w:r>
              <w:rPr>
                <w:color w:val="auto"/>
                <w:kern w:val="0"/>
                <w:szCs w:val="21"/>
              </w:rPr>
              <w:t>Chinese</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snapToGrid w:val="0"/>
              <w:jc w:val="center"/>
              <w:rPr>
                <w:szCs w:val="21"/>
              </w:rPr>
            </w:pPr>
            <w:r>
              <w:rPr>
                <w:szCs w:val="21"/>
              </w:rPr>
              <w:t>考试</w:t>
            </w:r>
          </w:p>
          <w:p>
            <w:pPr>
              <w:widowControl/>
              <w:snapToGrid w:val="0"/>
              <w:jc w:val="center"/>
              <w:rPr>
                <w:rFonts w:hint="default" w:eastAsia="宋体"/>
                <w:szCs w:val="21"/>
                <w:lang w:val="en-US" w:eastAsia="zh-CN"/>
              </w:rPr>
            </w:pP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tcMar>
              <w:top w:w="0" w:type="dxa"/>
              <w:left w:w="51" w:type="dxa"/>
              <w:bottom w:w="0" w:type="dxa"/>
              <w:right w:w="51" w:type="dxa"/>
            </w:tcMar>
            <w:vAlign w:val="center"/>
          </w:tcPr>
          <w:p>
            <w:pPr>
              <w:widowControl/>
              <w:snapToGrid w:val="0"/>
              <w:jc w:val="center"/>
              <w:rPr>
                <w:kern w:val="0"/>
                <w:szCs w:val="21"/>
              </w:rPr>
            </w:pPr>
            <w:r>
              <w:rPr>
                <w:kern w:val="0"/>
                <w:szCs w:val="21"/>
              </w:rPr>
              <w:t>国际</w:t>
            </w:r>
            <w:r>
              <w:rPr>
                <w:rFonts w:hint="eastAsia"/>
                <w:kern w:val="0"/>
                <w:szCs w:val="21"/>
                <w:lang w:val="en-US" w:eastAsia="zh-CN"/>
              </w:rPr>
              <w:t>教育</w:t>
            </w:r>
            <w:r>
              <w:rPr>
                <w:kern w:val="0"/>
                <w:szCs w:val="21"/>
              </w:rPr>
              <w:t>学院</w:t>
            </w:r>
          </w:p>
          <w:p>
            <w:pPr>
              <w:widowControl/>
              <w:snapToGrid w:val="0"/>
              <w:jc w:val="center"/>
              <w:rPr>
                <w:kern w:val="0"/>
                <w:szCs w:val="21"/>
              </w:rPr>
            </w:pPr>
            <w:r>
              <w:rPr>
                <w:rFonts w:hint="eastAsia"/>
                <w:color w:val="auto"/>
                <w:kern w:val="0"/>
                <w:szCs w:val="21"/>
              </w:rPr>
              <w:t>School of International Education</w:t>
            </w:r>
          </w:p>
        </w:tc>
        <w:tc>
          <w:tcPr>
            <w:tcW w:w="867" w:type="dxa"/>
            <w:noWrap w:val="0"/>
            <w:vAlign w:val="center"/>
          </w:tcPr>
          <w:p>
            <w:pPr>
              <w:widowControl/>
              <w:snapToGrid w:val="0"/>
              <w:jc w:val="center"/>
              <w:rPr>
                <w:kern w:val="0"/>
                <w:szCs w:val="21"/>
              </w:rPr>
            </w:pP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735" w:type="dxa"/>
            <w:vMerge w:val="continue"/>
            <w:noWrap w:val="0"/>
            <w:vAlign w:val="center"/>
          </w:tcPr>
          <w:p>
            <w:pPr>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jc w:val="center"/>
              <w:rPr>
                <w:kern w:val="0"/>
                <w:szCs w:val="21"/>
              </w:rPr>
            </w:pPr>
            <w:r>
              <w:rPr>
                <w:kern w:val="0"/>
                <w:szCs w:val="21"/>
              </w:rPr>
              <w:t>yl202295002</w:t>
            </w:r>
          </w:p>
        </w:tc>
        <w:tc>
          <w:tcPr>
            <w:tcW w:w="3054" w:type="dxa"/>
            <w:noWrap w:val="0"/>
            <w:vAlign w:val="center"/>
          </w:tcPr>
          <w:p>
            <w:pPr>
              <w:widowControl/>
              <w:rPr>
                <w:kern w:val="0"/>
                <w:szCs w:val="21"/>
              </w:rPr>
            </w:pPr>
            <w:r>
              <w:rPr>
                <w:kern w:val="0"/>
                <w:szCs w:val="21"/>
              </w:rPr>
              <w:t>中国概况</w:t>
            </w:r>
          </w:p>
          <w:p>
            <w:pPr>
              <w:widowControl/>
              <w:rPr>
                <w:kern w:val="0"/>
                <w:szCs w:val="21"/>
              </w:rPr>
            </w:pPr>
            <w:r>
              <w:rPr>
                <w:rFonts w:hint="eastAsia"/>
                <w:color w:val="auto"/>
                <w:kern w:val="0"/>
                <w:szCs w:val="21"/>
              </w:rPr>
              <w:t>I</w:t>
            </w:r>
            <w:r>
              <w:rPr>
                <w:color w:val="auto"/>
                <w:kern w:val="0"/>
                <w:szCs w:val="21"/>
              </w:rPr>
              <w:t>ntroduction to China</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snapToGrid w:val="0"/>
              <w:jc w:val="center"/>
              <w:rPr>
                <w:kern w:val="0"/>
                <w:szCs w:val="21"/>
              </w:rPr>
            </w:pPr>
            <w:r>
              <w:rPr>
                <w:szCs w:val="21"/>
              </w:rPr>
              <w:t>考试</w:t>
            </w:r>
            <w:r>
              <w:rPr>
                <w:rFonts w:hint="eastAsia"/>
                <w:szCs w:val="21"/>
                <w:lang w:val="en-US" w:eastAsia="zh-CN"/>
              </w:rPr>
              <w:t>Exam</w:t>
            </w:r>
          </w:p>
        </w:tc>
        <w:tc>
          <w:tcPr>
            <w:tcW w:w="714" w:type="dxa"/>
            <w:noWrap w:val="0"/>
            <w:vAlign w:val="center"/>
          </w:tcPr>
          <w:p>
            <w:pPr>
              <w:snapToGrid w:val="0"/>
              <w:jc w:val="center"/>
              <w:rPr>
                <w:rFonts w:hint="eastAsia" w:eastAsia="宋体"/>
                <w:kern w:val="0"/>
                <w:szCs w:val="21"/>
                <w:lang w:eastAsia="zh-CN"/>
              </w:rPr>
            </w:pPr>
            <w:r>
              <w:rPr>
                <w:rFonts w:hint="eastAsia"/>
                <w:kern w:val="0"/>
                <w:szCs w:val="21"/>
                <w:lang w:val="en-US" w:eastAsia="zh-CN"/>
              </w:rPr>
              <w:t>2</w:t>
            </w:r>
          </w:p>
        </w:tc>
        <w:tc>
          <w:tcPr>
            <w:tcW w:w="1454" w:type="dxa"/>
            <w:noWrap w:val="0"/>
            <w:tcMar>
              <w:top w:w="0" w:type="dxa"/>
              <w:left w:w="51" w:type="dxa"/>
              <w:bottom w:w="0" w:type="dxa"/>
              <w:right w:w="51" w:type="dxa"/>
            </w:tcMar>
            <w:vAlign w:val="center"/>
          </w:tcPr>
          <w:p>
            <w:pPr>
              <w:widowControl/>
              <w:snapToGrid w:val="0"/>
              <w:jc w:val="center"/>
              <w:rPr>
                <w:kern w:val="0"/>
                <w:szCs w:val="21"/>
              </w:rPr>
            </w:pPr>
            <w:r>
              <w:rPr>
                <w:kern w:val="0"/>
                <w:szCs w:val="21"/>
              </w:rPr>
              <w:t>国际</w:t>
            </w:r>
            <w:r>
              <w:rPr>
                <w:rFonts w:hint="eastAsia"/>
                <w:kern w:val="0"/>
                <w:szCs w:val="21"/>
                <w:lang w:val="en-US" w:eastAsia="zh-CN"/>
              </w:rPr>
              <w:t>教育</w:t>
            </w:r>
            <w:r>
              <w:rPr>
                <w:kern w:val="0"/>
                <w:szCs w:val="21"/>
              </w:rPr>
              <w:t>学院</w:t>
            </w:r>
          </w:p>
          <w:p>
            <w:pPr>
              <w:widowControl/>
              <w:snapToGrid w:val="0"/>
              <w:jc w:val="center"/>
              <w:rPr>
                <w:kern w:val="0"/>
                <w:szCs w:val="21"/>
              </w:rPr>
            </w:pPr>
            <w:r>
              <w:rPr>
                <w:rFonts w:hint="eastAsia"/>
                <w:color w:val="auto"/>
                <w:kern w:val="0"/>
                <w:szCs w:val="21"/>
              </w:rPr>
              <w:t>School of International Education</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snapToGrid w:val="0"/>
              <w:jc w:val="left"/>
              <w:rPr>
                <w:kern w:val="0"/>
                <w:szCs w:val="21"/>
              </w:rPr>
            </w:pPr>
          </w:p>
        </w:tc>
        <w:tc>
          <w:tcPr>
            <w:tcW w:w="724" w:type="dxa"/>
            <w:vMerge w:val="restart"/>
            <w:noWrap w:val="0"/>
            <w:vAlign w:val="center"/>
          </w:tcPr>
          <w:p>
            <w:pPr>
              <w:snapToGrid w:val="0"/>
              <w:jc w:val="center"/>
              <w:rPr>
                <w:kern w:val="0"/>
                <w:szCs w:val="21"/>
              </w:rPr>
            </w:pPr>
            <w:r>
              <w:rPr>
                <w:kern w:val="0"/>
                <w:szCs w:val="21"/>
              </w:rPr>
              <w:t>领域核心课</w:t>
            </w:r>
          </w:p>
          <w:p>
            <w:pPr>
              <w:snapToGrid w:val="0"/>
              <w:jc w:val="center"/>
              <w:rPr>
                <w:kern w:val="0"/>
                <w:szCs w:val="21"/>
              </w:rPr>
            </w:pPr>
            <w:r>
              <w:rPr>
                <w:color w:val="auto"/>
                <w:kern w:val="0"/>
                <w:szCs w:val="21"/>
              </w:rPr>
              <w:t>Discipline core course</w:t>
            </w:r>
            <w:r>
              <w:rPr>
                <w:kern w:val="0"/>
                <w:szCs w:val="21"/>
              </w:rPr>
              <w:t>(≥1</w:t>
            </w:r>
            <w:r>
              <w:rPr>
                <w:rFonts w:hint="eastAsia"/>
                <w:kern w:val="0"/>
                <w:szCs w:val="21"/>
                <w:lang w:val="en-US" w:eastAsia="zh-CN"/>
              </w:rPr>
              <w:t>6</w:t>
            </w:r>
            <w:r>
              <w:rPr>
                <w:kern w:val="0"/>
                <w:szCs w:val="21"/>
              </w:rPr>
              <w:t>)</w:t>
            </w:r>
          </w:p>
        </w:tc>
        <w:tc>
          <w:tcPr>
            <w:tcW w:w="1312" w:type="dxa"/>
            <w:noWrap w:val="0"/>
            <w:tcMar>
              <w:top w:w="0" w:type="dxa"/>
              <w:left w:w="51" w:type="dxa"/>
              <w:bottom w:w="0" w:type="dxa"/>
              <w:right w:w="51" w:type="dxa"/>
            </w:tcMar>
            <w:vAlign w:val="top"/>
          </w:tcPr>
          <w:p>
            <w:pPr>
              <w:widowControl/>
              <w:jc w:val="left"/>
              <w:rPr>
                <w:szCs w:val="21"/>
              </w:rPr>
            </w:pPr>
            <w:r>
              <w:rPr>
                <w:szCs w:val="21"/>
              </w:rPr>
              <w:t>yx202202001</w:t>
            </w:r>
          </w:p>
        </w:tc>
        <w:tc>
          <w:tcPr>
            <w:tcW w:w="3054" w:type="dxa"/>
            <w:noWrap w:val="0"/>
            <w:vAlign w:val="top"/>
          </w:tcPr>
          <w:p>
            <w:pPr>
              <w:widowControl/>
              <w:snapToGrid w:val="0"/>
              <w:jc w:val="left"/>
              <w:rPr>
                <w:szCs w:val="21"/>
              </w:rPr>
            </w:pPr>
            <w:r>
              <w:rPr>
                <w:szCs w:val="21"/>
              </w:rPr>
              <w:t>应用数理统计</w:t>
            </w:r>
          </w:p>
          <w:p>
            <w:pPr>
              <w:widowControl/>
              <w:snapToGrid w:val="0"/>
              <w:jc w:val="left"/>
              <w:rPr>
                <w:szCs w:val="21"/>
              </w:rPr>
            </w:pPr>
            <w:r>
              <w:rPr>
                <w:rFonts w:hint="eastAsia"/>
                <w:szCs w:val="21"/>
              </w:rPr>
              <w:t>Mathematical Statistics and Application</w:t>
            </w:r>
          </w:p>
        </w:tc>
        <w:tc>
          <w:tcPr>
            <w:tcW w:w="517" w:type="dxa"/>
            <w:noWrap w:val="0"/>
            <w:vAlign w:val="top"/>
          </w:tcPr>
          <w:p>
            <w:pPr>
              <w:widowControl/>
              <w:snapToGrid w:val="0"/>
              <w:jc w:val="center"/>
              <w:rPr>
                <w:kern w:val="0"/>
                <w:szCs w:val="21"/>
              </w:rPr>
            </w:pPr>
            <w:r>
              <w:rPr>
                <w:szCs w:val="21"/>
              </w:rPr>
              <w:t>48</w:t>
            </w:r>
          </w:p>
        </w:tc>
        <w:tc>
          <w:tcPr>
            <w:tcW w:w="564" w:type="dxa"/>
            <w:noWrap w:val="0"/>
            <w:vAlign w:val="top"/>
          </w:tcPr>
          <w:p>
            <w:pPr>
              <w:widowControl/>
              <w:snapToGrid w:val="0"/>
              <w:jc w:val="center"/>
              <w:rPr>
                <w:kern w:val="0"/>
                <w:szCs w:val="21"/>
              </w:rPr>
            </w:pPr>
            <w:r>
              <w:rPr>
                <w:szCs w:val="21"/>
              </w:rPr>
              <w:t>3</w:t>
            </w:r>
          </w:p>
        </w:tc>
        <w:tc>
          <w:tcPr>
            <w:tcW w:w="677" w:type="dxa"/>
            <w:noWrap w:val="0"/>
            <w:tcMar>
              <w:top w:w="0" w:type="dxa"/>
              <w:left w:w="51" w:type="dxa"/>
              <w:bottom w:w="0" w:type="dxa"/>
              <w:right w:w="51" w:type="dxa"/>
            </w:tcMar>
            <w:vAlign w:val="center"/>
          </w:tcPr>
          <w:p>
            <w:pPr>
              <w:widowControl/>
              <w:snapToGrid w:val="0"/>
              <w:jc w:val="center"/>
              <w:rPr>
                <w:kern w:val="0"/>
                <w:szCs w:val="21"/>
              </w:rPr>
            </w:pPr>
            <w:r>
              <w:rPr>
                <w:kern w:val="0"/>
                <w:szCs w:val="21"/>
              </w:rPr>
              <w:t>考试</w:t>
            </w:r>
            <w:r>
              <w:rPr>
                <w:rFonts w:hint="eastAsia"/>
                <w:szCs w:val="21"/>
                <w:lang w:val="en-US" w:eastAsia="zh-CN"/>
              </w:rPr>
              <w:t>Exam</w:t>
            </w:r>
          </w:p>
        </w:tc>
        <w:tc>
          <w:tcPr>
            <w:tcW w:w="714" w:type="dxa"/>
            <w:noWrap/>
            <w:vAlign w:val="center"/>
          </w:tcPr>
          <w:p>
            <w:pPr>
              <w:snapToGrid w:val="0"/>
              <w:jc w:val="center"/>
              <w:rPr>
                <w:kern w:val="0"/>
                <w:szCs w:val="21"/>
              </w:rPr>
            </w:pPr>
            <w:r>
              <w:rPr>
                <w:kern w:val="0"/>
                <w:szCs w:val="21"/>
              </w:rPr>
              <w:t>1</w:t>
            </w:r>
          </w:p>
        </w:tc>
        <w:tc>
          <w:tcPr>
            <w:tcW w:w="1454" w:type="dxa"/>
            <w:noWrap/>
            <w:vAlign w:val="center"/>
          </w:tcPr>
          <w:p>
            <w:pPr>
              <w:snapToGrid w:val="0"/>
              <w:jc w:val="center"/>
              <w:rPr>
                <w:kern w:val="0"/>
                <w:szCs w:val="21"/>
              </w:rPr>
            </w:pPr>
            <w:r>
              <w:rPr>
                <w:kern w:val="0"/>
                <w:szCs w:val="21"/>
              </w:rPr>
              <w:t>理学院</w:t>
            </w:r>
          </w:p>
          <w:p>
            <w:pPr>
              <w:snapToGrid w:val="0"/>
              <w:jc w:val="center"/>
              <w:rPr>
                <w:rFonts w:hint="default" w:eastAsia="宋体"/>
                <w:kern w:val="0"/>
                <w:szCs w:val="21"/>
                <w:lang w:val="en-US" w:eastAsia="zh-CN"/>
              </w:rPr>
            </w:pPr>
            <w:r>
              <w:rPr>
                <w:rFonts w:hint="eastAsia"/>
                <w:kern w:val="0"/>
                <w:szCs w:val="21"/>
                <w:lang w:val="en-US" w:eastAsia="zh-CN"/>
              </w:rPr>
              <w:t>College of Science</w:t>
            </w:r>
          </w:p>
        </w:tc>
        <w:tc>
          <w:tcPr>
            <w:tcW w:w="867" w:type="dxa"/>
            <w:noWrap/>
            <w:tcMar>
              <w:top w:w="0" w:type="dxa"/>
              <w:left w:w="51" w:type="dxa"/>
              <w:bottom w:w="0" w:type="dxa"/>
              <w:right w:w="51" w:type="dxa"/>
            </w:tcMar>
            <w:vAlign w:val="center"/>
          </w:tcPr>
          <w:p>
            <w:pPr>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jc w:val="center"/>
              <w:rPr>
                <w:szCs w:val="21"/>
              </w:rPr>
            </w:pPr>
            <w:r>
              <w:rPr>
                <w:szCs w:val="21"/>
              </w:rPr>
              <w:t>yz202209360</w:t>
            </w:r>
          </w:p>
        </w:tc>
        <w:tc>
          <w:tcPr>
            <w:tcW w:w="3054" w:type="dxa"/>
            <w:noWrap w:val="0"/>
            <w:vAlign w:val="center"/>
          </w:tcPr>
          <w:p>
            <w:pPr>
              <w:widowControl/>
              <w:rPr>
                <w:kern w:val="0"/>
                <w:szCs w:val="21"/>
              </w:rPr>
            </w:pPr>
            <w:r>
              <w:rPr>
                <w:kern w:val="0"/>
                <w:szCs w:val="21"/>
              </w:rPr>
              <w:t>论文写作指导</w:t>
            </w:r>
          </w:p>
          <w:p>
            <w:pPr>
              <w:widowControl/>
              <w:rPr>
                <w:kern w:val="0"/>
                <w:szCs w:val="21"/>
              </w:rPr>
            </w:pPr>
            <w:r>
              <w:rPr>
                <w:rFonts w:hint="eastAsia"/>
                <w:kern w:val="0"/>
                <w:szCs w:val="21"/>
              </w:rPr>
              <w:t>Guidance of Academic Writing</w:t>
            </w:r>
          </w:p>
        </w:tc>
        <w:tc>
          <w:tcPr>
            <w:tcW w:w="517" w:type="dxa"/>
            <w:noWrap w:val="0"/>
            <w:vAlign w:val="center"/>
          </w:tcPr>
          <w:p>
            <w:pPr>
              <w:widowControl/>
              <w:jc w:val="center"/>
              <w:rPr>
                <w:kern w:val="0"/>
                <w:szCs w:val="21"/>
              </w:rPr>
            </w:pPr>
            <w:r>
              <w:rPr>
                <w:kern w:val="0"/>
                <w:szCs w:val="21"/>
              </w:rPr>
              <w:t>16</w:t>
            </w:r>
          </w:p>
        </w:tc>
        <w:tc>
          <w:tcPr>
            <w:tcW w:w="564" w:type="dxa"/>
            <w:noWrap w:val="0"/>
            <w:vAlign w:val="center"/>
          </w:tcPr>
          <w:p>
            <w:pPr>
              <w:widowControl/>
              <w:jc w:val="center"/>
              <w:rPr>
                <w:kern w:val="0"/>
                <w:szCs w:val="21"/>
              </w:rPr>
            </w:pPr>
            <w:r>
              <w:rPr>
                <w:kern w:val="0"/>
                <w:szCs w:val="21"/>
              </w:rPr>
              <w:t>1</w:t>
            </w:r>
          </w:p>
        </w:tc>
        <w:tc>
          <w:tcPr>
            <w:tcW w:w="677" w:type="dxa"/>
            <w:noWrap w:val="0"/>
            <w:vAlign w:val="center"/>
          </w:tcPr>
          <w:p>
            <w:pPr>
              <w:widowControl/>
              <w:jc w:val="center"/>
              <w:rPr>
                <w:kern w:val="0"/>
                <w:szCs w:val="21"/>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rFonts w:hint="default" w:eastAsia="宋体"/>
                <w:kern w:val="0"/>
                <w:szCs w:val="21"/>
                <w:lang w:val="en-US" w:eastAsia="zh-CN"/>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r>
              <w:rPr>
                <w:kern w:val="0"/>
                <w:szCs w:val="21"/>
              </w:rPr>
              <w:t>必选</w:t>
            </w:r>
          </w:p>
          <w:p>
            <w:pPr>
              <w:widowControl/>
              <w:snapToGrid w:val="0"/>
              <w:jc w:val="center"/>
              <w:rPr>
                <w:rFonts w:hint="default" w:eastAsia="宋体"/>
                <w:kern w:val="0"/>
                <w:szCs w:val="21"/>
                <w:lang w:val="en-US" w:eastAsia="zh-CN"/>
              </w:rPr>
            </w:pPr>
            <w:r>
              <w:rPr>
                <w:rFonts w:hint="eastAsia"/>
                <w:kern w:val="0"/>
                <w:szCs w:val="21"/>
                <w:lang w:val="en-US" w:eastAsia="zh-CN"/>
              </w:rPr>
              <w:t>Compulsory</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rPr>
                <w:szCs w:val="21"/>
              </w:rPr>
            </w:pPr>
            <w:r>
              <w:rPr>
                <w:kern w:val="0"/>
                <w:szCs w:val="21"/>
              </w:rPr>
              <w:t>yz202209361</w:t>
            </w:r>
          </w:p>
        </w:tc>
        <w:tc>
          <w:tcPr>
            <w:tcW w:w="3054" w:type="dxa"/>
            <w:noWrap w:val="0"/>
            <w:vAlign w:val="center"/>
          </w:tcPr>
          <w:p>
            <w:pPr>
              <w:widowControl/>
              <w:rPr>
                <w:kern w:val="0"/>
                <w:szCs w:val="21"/>
              </w:rPr>
            </w:pPr>
            <w:r>
              <w:rPr>
                <w:kern w:val="0"/>
                <w:szCs w:val="21"/>
              </w:rPr>
              <w:t>高级人工智能</w:t>
            </w:r>
          </w:p>
          <w:p>
            <w:pPr>
              <w:widowControl/>
              <w:rPr>
                <w:kern w:val="0"/>
                <w:szCs w:val="21"/>
              </w:rPr>
            </w:pPr>
            <w:r>
              <w:rPr>
                <w:rFonts w:hint="eastAsia"/>
                <w:kern w:val="0"/>
                <w:szCs w:val="21"/>
              </w:rPr>
              <w:t xml:space="preserve">Advanced Artificial Intelligence </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jc w:val="center"/>
              <w:rPr>
                <w:kern w:val="0"/>
                <w:szCs w:val="21"/>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jc w:val="center"/>
              <w:rPr>
                <w:szCs w:val="21"/>
              </w:rPr>
            </w:pPr>
            <w:r>
              <w:rPr>
                <w:kern w:val="0"/>
                <w:szCs w:val="21"/>
              </w:rPr>
              <w:t>yz202209362</w:t>
            </w:r>
          </w:p>
        </w:tc>
        <w:tc>
          <w:tcPr>
            <w:tcW w:w="3054" w:type="dxa"/>
            <w:noWrap w:val="0"/>
            <w:vAlign w:val="center"/>
          </w:tcPr>
          <w:p>
            <w:pPr>
              <w:widowControl/>
              <w:rPr>
                <w:kern w:val="0"/>
                <w:szCs w:val="21"/>
              </w:rPr>
            </w:pPr>
            <w:r>
              <w:rPr>
                <w:kern w:val="0"/>
                <w:szCs w:val="21"/>
              </w:rPr>
              <w:t>高级软件工程</w:t>
            </w:r>
          </w:p>
          <w:p>
            <w:pPr>
              <w:widowControl/>
              <w:rPr>
                <w:kern w:val="0"/>
                <w:szCs w:val="21"/>
              </w:rPr>
            </w:pPr>
            <w:r>
              <w:rPr>
                <w:rFonts w:hint="eastAsia"/>
                <w:kern w:val="0"/>
                <w:szCs w:val="21"/>
              </w:rPr>
              <w:t xml:space="preserve">Advanced Software Engineering </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jc w:val="center"/>
              <w:rPr>
                <w:kern w:val="0"/>
                <w:szCs w:val="21"/>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spacing w:line="360" w:lineRule="auto"/>
              <w:jc w:val="left"/>
              <w:rPr>
                <w:szCs w:val="21"/>
              </w:rPr>
            </w:pPr>
            <w:r>
              <w:rPr>
                <w:szCs w:val="21"/>
              </w:rPr>
              <w:t>yz202209363</w:t>
            </w:r>
          </w:p>
        </w:tc>
        <w:tc>
          <w:tcPr>
            <w:tcW w:w="3054" w:type="dxa"/>
            <w:noWrap w:val="0"/>
            <w:vAlign w:val="center"/>
          </w:tcPr>
          <w:p>
            <w:pPr>
              <w:widowControl/>
              <w:jc w:val="left"/>
              <w:rPr>
                <w:szCs w:val="21"/>
              </w:rPr>
            </w:pPr>
            <w:r>
              <w:rPr>
                <w:szCs w:val="21"/>
              </w:rPr>
              <w:t>高级算法设计与分析</w:t>
            </w:r>
          </w:p>
          <w:p>
            <w:pPr>
              <w:widowControl/>
              <w:jc w:val="left"/>
              <w:rPr>
                <w:szCs w:val="21"/>
              </w:rPr>
            </w:pPr>
            <w:r>
              <w:rPr>
                <w:rFonts w:hint="eastAsia"/>
                <w:szCs w:val="21"/>
              </w:rPr>
              <w:t>Advanced Algorithm Design and Analysis</w:t>
            </w:r>
          </w:p>
        </w:tc>
        <w:tc>
          <w:tcPr>
            <w:tcW w:w="517" w:type="dxa"/>
            <w:noWrap w:val="0"/>
            <w:vAlign w:val="center"/>
          </w:tcPr>
          <w:p>
            <w:pPr>
              <w:widowControl/>
              <w:snapToGrid w:val="0"/>
              <w:jc w:val="center"/>
              <w:rPr>
                <w:kern w:val="0"/>
                <w:szCs w:val="21"/>
              </w:rPr>
            </w:pPr>
            <w:r>
              <w:rPr>
                <w:kern w:val="0"/>
                <w:szCs w:val="21"/>
              </w:rPr>
              <w:t>32</w:t>
            </w:r>
          </w:p>
        </w:tc>
        <w:tc>
          <w:tcPr>
            <w:tcW w:w="564" w:type="dxa"/>
            <w:noWrap w:val="0"/>
            <w:vAlign w:val="center"/>
          </w:tcPr>
          <w:p>
            <w:pPr>
              <w:widowControl/>
              <w:snapToGrid w:val="0"/>
              <w:jc w:val="center"/>
              <w:rPr>
                <w:kern w:val="0"/>
                <w:szCs w:val="21"/>
              </w:rPr>
            </w:pPr>
            <w:r>
              <w:rPr>
                <w:kern w:val="0"/>
                <w:szCs w:val="21"/>
              </w:rPr>
              <w:t>2</w:t>
            </w:r>
          </w:p>
        </w:tc>
        <w:tc>
          <w:tcPr>
            <w:tcW w:w="677" w:type="dxa"/>
            <w:noWrap w:val="0"/>
            <w:vAlign w:val="center"/>
          </w:tcPr>
          <w:p>
            <w:pPr>
              <w:widowControl/>
              <w:snapToGrid w:val="0"/>
              <w:jc w:val="center"/>
              <w:rPr>
                <w:kern w:val="0"/>
                <w:szCs w:val="21"/>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snapToGrid w:val="0"/>
              <w:jc w:val="center"/>
              <w:rPr>
                <w:szCs w:val="21"/>
              </w:rPr>
            </w:pPr>
            <w:r>
              <w:rPr>
                <w:kern w:val="0"/>
                <w:szCs w:val="21"/>
              </w:rPr>
              <w:t>yz</w:t>
            </w:r>
            <w:r>
              <w:rPr>
                <w:szCs w:val="21"/>
              </w:rPr>
              <w:t>202209364</w:t>
            </w:r>
          </w:p>
        </w:tc>
        <w:tc>
          <w:tcPr>
            <w:tcW w:w="3054" w:type="dxa"/>
            <w:noWrap w:val="0"/>
            <w:vAlign w:val="center"/>
          </w:tcPr>
          <w:p>
            <w:pPr>
              <w:widowControl/>
              <w:snapToGrid w:val="0"/>
              <w:rPr>
                <w:szCs w:val="21"/>
              </w:rPr>
            </w:pPr>
            <w:r>
              <w:rPr>
                <w:szCs w:val="21"/>
              </w:rPr>
              <w:t>面向对象的系统分析与设计</w:t>
            </w:r>
          </w:p>
          <w:p>
            <w:pPr>
              <w:widowControl/>
              <w:snapToGrid w:val="0"/>
              <w:rPr>
                <w:szCs w:val="21"/>
              </w:rPr>
            </w:pPr>
            <w:r>
              <w:rPr>
                <w:rFonts w:hint="eastAsia"/>
                <w:szCs w:val="21"/>
              </w:rPr>
              <w:t>Object-Oriented System Analysis and Design</w:t>
            </w:r>
          </w:p>
        </w:tc>
        <w:tc>
          <w:tcPr>
            <w:tcW w:w="517" w:type="dxa"/>
            <w:noWrap w:val="0"/>
            <w:vAlign w:val="center"/>
          </w:tcPr>
          <w:p>
            <w:pPr>
              <w:widowControl/>
              <w:snapToGrid w:val="0"/>
              <w:jc w:val="center"/>
              <w:rPr>
                <w:kern w:val="0"/>
                <w:szCs w:val="21"/>
              </w:rPr>
            </w:pPr>
            <w:r>
              <w:rPr>
                <w:kern w:val="0"/>
                <w:szCs w:val="21"/>
              </w:rPr>
              <w:t>32</w:t>
            </w:r>
          </w:p>
        </w:tc>
        <w:tc>
          <w:tcPr>
            <w:tcW w:w="564" w:type="dxa"/>
            <w:noWrap w:val="0"/>
            <w:vAlign w:val="center"/>
          </w:tcPr>
          <w:p>
            <w:pPr>
              <w:widowControl/>
              <w:snapToGrid w:val="0"/>
              <w:jc w:val="center"/>
              <w:rPr>
                <w:kern w:val="0"/>
                <w:szCs w:val="21"/>
              </w:rPr>
            </w:pPr>
            <w:r>
              <w:rPr>
                <w:kern w:val="0"/>
                <w:szCs w:val="21"/>
              </w:rPr>
              <w:t>2</w:t>
            </w:r>
          </w:p>
        </w:tc>
        <w:tc>
          <w:tcPr>
            <w:tcW w:w="677" w:type="dxa"/>
            <w:noWrap w:val="0"/>
            <w:vAlign w:val="center"/>
          </w:tcPr>
          <w:p>
            <w:pPr>
              <w:widowControl/>
              <w:snapToGrid w:val="0"/>
              <w:jc w:val="center"/>
              <w:rPr>
                <w:kern w:val="0"/>
                <w:szCs w:val="21"/>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kern w:val="0"/>
                <w:szCs w:val="21"/>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spacing w:line="360" w:lineRule="auto"/>
              <w:jc w:val="left"/>
              <w:rPr>
                <w:rFonts w:ascii="Times New Roman" w:hAnsi="Times New Roman" w:eastAsia="宋体" w:cs="Times New Roman"/>
                <w:kern w:val="2"/>
                <w:sz w:val="21"/>
                <w:szCs w:val="21"/>
                <w:lang w:val="en-US" w:eastAsia="zh-CN" w:bidi="ar-SA"/>
              </w:rPr>
            </w:pPr>
            <w:r>
              <w:rPr>
                <w:kern w:val="0"/>
                <w:szCs w:val="21"/>
              </w:rPr>
              <w:t>yz</w:t>
            </w:r>
            <w:r>
              <w:rPr>
                <w:szCs w:val="21"/>
              </w:rPr>
              <w:t>202209365</w:t>
            </w:r>
          </w:p>
        </w:tc>
        <w:tc>
          <w:tcPr>
            <w:tcW w:w="3054" w:type="dxa"/>
            <w:noWrap w:val="0"/>
            <w:vAlign w:val="center"/>
          </w:tcPr>
          <w:p>
            <w:pPr>
              <w:widowControl/>
              <w:jc w:val="left"/>
              <w:rPr>
                <w:szCs w:val="21"/>
              </w:rPr>
            </w:pPr>
            <w:r>
              <w:rPr>
                <w:szCs w:val="21"/>
              </w:rPr>
              <w:t>CMMI过程模型与敏捷实践</w:t>
            </w:r>
          </w:p>
          <w:p>
            <w:pPr>
              <w:widowControl/>
              <w:jc w:val="left"/>
              <w:rPr>
                <w:rFonts w:hint="eastAsia" w:ascii="Times New Roman" w:hAnsi="Times New Roman" w:eastAsia="宋体" w:cs="Times New Roman"/>
                <w:kern w:val="2"/>
                <w:sz w:val="21"/>
                <w:szCs w:val="21"/>
                <w:lang w:val="en-US" w:eastAsia="zh-CN" w:bidi="ar-SA"/>
              </w:rPr>
            </w:pPr>
            <w:r>
              <w:rPr>
                <w:rFonts w:hint="eastAsia"/>
                <w:szCs w:val="21"/>
              </w:rPr>
              <w:t>CMMI Software Process Model and Improvement and Agile Practice</w:t>
            </w:r>
          </w:p>
        </w:tc>
        <w:tc>
          <w:tcPr>
            <w:tcW w:w="517" w:type="dxa"/>
            <w:noWrap w:val="0"/>
            <w:vAlign w:val="center"/>
          </w:tcPr>
          <w:p>
            <w:pPr>
              <w:widowControl/>
              <w:snapToGrid w:val="0"/>
              <w:jc w:val="center"/>
              <w:rPr>
                <w:rFonts w:ascii="Times New Roman" w:hAnsi="Times New Roman" w:eastAsia="宋体" w:cs="Times New Roman"/>
                <w:kern w:val="0"/>
                <w:sz w:val="21"/>
                <w:szCs w:val="21"/>
                <w:lang w:val="en-US" w:eastAsia="zh-CN" w:bidi="ar-SA"/>
              </w:rPr>
            </w:pPr>
            <w:r>
              <w:rPr>
                <w:kern w:val="0"/>
                <w:szCs w:val="21"/>
              </w:rPr>
              <w:t>32</w:t>
            </w:r>
          </w:p>
        </w:tc>
        <w:tc>
          <w:tcPr>
            <w:tcW w:w="564" w:type="dxa"/>
            <w:noWrap w:val="0"/>
            <w:vAlign w:val="center"/>
          </w:tcPr>
          <w:p>
            <w:pPr>
              <w:widowControl/>
              <w:snapToGrid w:val="0"/>
              <w:jc w:val="center"/>
              <w:rPr>
                <w:rFonts w:ascii="Times New Roman" w:hAnsi="Times New Roman" w:eastAsia="宋体" w:cs="Times New Roman"/>
                <w:kern w:val="0"/>
                <w:sz w:val="21"/>
                <w:szCs w:val="21"/>
                <w:lang w:val="en-US" w:eastAsia="zh-CN" w:bidi="ar-SA"/>
              </w:rPr>
            </w:pPr>
            <w:r>
              <w:rPr>
                <w:kern w:val="0"/>
                <w:szCs w:val="21"/>
              </w:rPr>
              <w:t>2</w:t>
            </w:r>
          </w:p>
        </w:tc>
        <w:tc>
          <w:tcPr>
            <w:tcW w:w="677" w:type="dxa"/>
            <w:noWrap w:val="0"/>
            <w:vAlign w:val="center"/>
          </w:tcPr>
          <w:p>
            <w:pPr>
              <w:widowControl/>
              <w:snapToGrid w:val="0"/>
              <w:jc w:val="center"/>
              <w:rPr>
                <w:rFonts w:ascii="Times New Roman" w:hAnsi="Times New Roman" w:eastAsia="宋体" w:cs="Times New Roman"/>
                <w:kern w:val="0"/>
                <w:sz w:val="21"/>
                <w:szCs w:val="21"/>
                <w:lang w:val="en-US" w:eastAsia="zh-CN" w:bidi="ar-SA"/>
              </w:rPr>
            </w:pPr>
            <w:r>
              <w:rPr>
                <w:kern w:val="0"/>
                <w:szCs w:val="21"/>
              </w:rPr>
              <w:t>考试</w:t>
            </w:r>
            <w:r>
              <w:rPr>
                <w:rFonts w:hint="eastAsia"/>
                <w:szCs w:val="21"/>
                <w:lang w:val="en-US" w:eastAsia="zh-CN"/>
              </w:rPr>
              <w:t>Exam</w:t>
            </w:r>
          </w:p>
        </w:tc>
        <w:tc>
          <w:tcPr>
            <w:tcW w:w="714" w:type="dxa"/>
            <w:noWrap w:val="0"/>
            <w:vAlign w:val="center"/>
          </w:tcPr>
          <w:p>
            <w:pPr>
              <w:widowControl/>
              <w:snapToGrid w:val="0"/>
              <w:jc w:val="center"/>
              <w:rPr>
                <w:rFonts w:ascii="Times New Roman" w:hAnsi="Times New Roman" w:eastAsia="宋体" w:cs="Times New Roman"/>
                <w:kern w:val="0"/>
                <w:sz w:val="21"/>
                <w:szCs w:val="21"/>
                <w:lang w:val="en-US" w:eastAsia="zh-CN" w:bidi="ar-SA"/>
              </w:rPr>
            </w:pPr>
            <w:r>
              <w:rPr>
                <w:kern w:val="0"/>
                <w:szCs w:val="21"/>
              </w:rPr>
              <w:t>1</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left"/>
              <w:rPr>
                <w:kern w:val="0"/>
                <w:szCs w:val="21"/>
              </w:rPr>
            </w:pPr>
          </w:p>
        </w:tc>
        <w:tc>
          <w:tcPr>
            <w:tcW w:w="1312" w:type="dxa"/>
            <w:noWrap w:val="0"/>
            <w:tcMar>
              <w:top w:w="0" w:type="dxa"/>
              <w:left w:w="51" w:type="dxa"/>
              <w:bottom w:w="0" w:type="dxa"/>
              <w:right w:w="51" w:type="dxa"/>
            </w:tcMar>
            <w:vAlign w:val="center"/>
          </w:tcPr>
          <w:p>
            <w:pPr>
              <w:widowControl/>
              <w:jc w:val="center"/>
              <w:rPr>
                <w:rFonts w:ascii="Times New Roman" w:hAnsi="Times New Roman" w:eastAsia="宋体" w:cs="Times New Roman"/>
                <w:kern w:val="0"/>
                <w:sz w:val="21"/>
                <w:szCs w:val="21"/>
                <w:lang w:val="en-US" w:eastAsia="zh-CN" w:bidi="ar-SA"/>
              </w:rPr>
            </w:pPr>
            <w:r>
              <w:rPr>
                <w:kern w:val="0"/>
                <w:szCs w:val="21"/>
              </w:rPr>
              <w:t>yz</w:t>
            </w:r>
            <w:r>
              <w:rPr>
                <w:szCs w:val="21"/>
              </w:rPr>
              <w:t>202209369</w:t>
            </w:r>
          </w:p>
        </w:tc>
        <w:tc>
          <w:tcPr>
            <w:tcW w:w="3054" w:type="dxa"/>
            <w:noWrap w:val="0"/>
            <w:vAlign w:val="center"/>
          </w:tcPr>
          <w:p>
            <w:pPr>
              <w:widowControl/>
              <w:rPr>
                <w:szCs w:val="21"/>
              </w:rPr>
            </w:pPr>
            <w:r>
              <w:rPr>
                <w:szCs w:val="21"/>
              </w:rPr>
              <w:t>分析型数据仓库系统</w:t>
            </w:r>
          </w:p>
          <w:p>
            <w:pPr>
              <w:widowControl/>
              <w:rPr>
                <w:rFonts w:ascii="Times New Roman" w:hAnsi="Times New Roman" w:eastAsia="宋体" w:cs="Times New Roman"/>
                <w:kern w:val="2"/>
                <w:sz w:val="21"/>
                <w:szCs w:val="21"/>
                <w:lang w:val="en-US" w:eastAsia="zh-CN" w:bidi="ar-SA"/>
              </w:rPr>
            </w:pPr>
            <w:r>
              <w:rPr>
                <w:rFonts w:hint="eastAsia"/>
                <w:szCs w:val="21"/>
              </w:rPr>
              <w:t xml:space="preserve">Analytical </w:t>
            </w:r>
            <w:r>
              <w:rPr>
                <w:rFonts w:hint="eastAsia"/>
                <w:szCs w:val="21"/>
                <w:lang w:val="en-US" w:eastAsia="zh-CN"/>
              </w:rPr>
              <w:t>D</w:t>
            </w:r>
            <w:r>
              <w:rPr>
                <w:rFonts w:hint="eastAsia"/>
                <w:szCs w:val="21"/>
              </w:rPr>
              <w:t xml:space="preserve">ata </w:t>
            </w:r>
            <w:r>
              <w:rPr>
                <w:rFonts w:hint="eastAsia"/>
                <w:szCs w:val="21"/>
                <w:lang w:val="en-US" w:eastAsia="zh-CN"/>
              </w:rPr>
              <w:t>W</w:t>
            </w:r>
            <w:r>
              <w:rPr>
                <w:rFonts w:hint="eastAsia"/>
                <w:szCs w:val="21"/>
              </w:rPr>
              <w:t xml:space="preserve">arehouse </w:t>
            </w:r>
            <w:r>
              <w:rPr>
                <w:rFonts w:hint="eastAsia"/>
                <w:szCs w:val="21"/>
                <w:lang w:val="en-US" w:eastAsia="zh-CN"/>
              </w:rPr>
              <w:t>S</w:t>
            </w:r>
            <w:r>
              <w:rPr>
                <w:rFonts w:hint="eastAsia"/>
                <w:szCs w:val="21"/>
              </w:rPr>
              <w:t>ystem</w:t>
            </w:r>
          </w:p>
        </w:tc>
        <w:tc>
          <w:tcPr>
            <w:tcW w:w="517" w:type="dxa"/>
            <w:noWrap w:val="0"/>
            <w:vAlign w:val="center"/>
          </w:tcPr>
          <w:p>
            <w:pPr>
              <w:widowControl/>
              <w:jc w:val="center"/>
              <w:rPr>
                <w:rFonts w:ascii="Times New Roman" w:hAnsi="Times New Roman" w:eastAsia="宋体" w:cs="Times New Roman"/>
                <w:kern w:val="0"/>
                <w:sz w:val="21"/>
                <w:szCs w:val="21"/>
                <w:lang w:val="en-US" w:eastAsia="zh-CN" w:bidi="ar-SA"/>
              </w:rPr>
            </w:pPr>
            <w:r>
              <w:rPr>
                <w:szCs w:val="21"/>
              </w:rPr>
              <w:t>32</w:t>
            </w:r>
          </w:p>
        </w:tc>
        <w:tc>
          <w:tcPr>
            <w:tcW w:w="564" w:type="dxa"/>
            <w:noWrap w:val="0"/>
            <w:vAlign w:val="center"/>
          </w:tcPr>
          <w:p>
            <w:pPr>
              <w:widowControl/>
              <w:jc w:val="center"/>
              <w:rPr>
                <w:rFonts w:ascii="Times New Roman" w:hAnsi="Times New Roman" w:eastAsia="宋体" w:cs="Times New Roman"/>
                <w:kern w:val="0"/>
                <w:sz w:val="21"/>
                <w:szCs w:val="21"/>
                <w:lang w:val="en-US" w:eastAsia="zh-CN" w:bidi="ar-SA"/>
              </w:rPr>
            </w:pPr>
            <w:r>
              <w:rPr>
                <w:szCs w:val="21"/>
              </w:rPr>
              <w:t>2</w:t>
            </w:r>
          </w:p>
        </w:tc>
        <w:tc>
          <w:tcPr>
            <w:tcW w:w="677" w:type="dxa"/>
            <w:noWrap w:val="0"/>
            <w:vAlign w:val="top"/>
          </w:tcPr>
          <w:p>
            <w:pPr>
              <w:widowControl/>
              <w:jc w:val="center"/>
              <w:rPr>
                <w:rFonts w:ascii="Times New Roman" w:hAnsi="Times New Roman" w:eastAsia="宋体" w:cs="Times New Roman"/>
                <w:kern w:val="0"/>
                <w:sz w:val="21"/>
                <w:szCs w:val="21"/>
                <w:lang w:val="en-US" w:eastAsia="zh-CN" w:bidi="ar-SA"/>
              </w:rPr>
            </w:pPr>
            <w:r>
              <w:rPr>
                <w:kern w:val="0"/>
                <w:szCs w:val="21"/>
              </w:rPr>
              <w:t>考试</w:t>
            </w:r>
            <w:r>
              <w:rPr>
                <w:rFonts w:hint="eastAsia"/>
                <w:szCs w:val="21"/>
                <w:lang w:val="en-US" w:eastAsia="zh-CN"/>
              </w:rPr>
              <w:t>Exam</w:t>
            </w:r>
          </w:p>
        </w:tc>
        <w:tc>
          <w:tcPr>
            <w:tcW w:w="714" w:type="dxa"/>
            <w:noWrap w:val="0"/>
            <w:vAlign w:val="center"/>
          </w:tcPr>
          <w:p>
            <w:pPr>
              <w:snapToGrid w:val="0"/>
              <w:jc w:val="center"/>
              <w:rPr>
                <w:rFonts w:ascii="Times New Roman" w:hAnsi="Times New Roman" w:eastAsia="宋体" w:cs="Times New Roman"/>
                <w:kern w:val="0"/>
                <w:sz w:val="21"/>
                <w:szCs w:val="21"/>
                <w:lang w:val="en-US" w:eastAsia="zh-CN" w:bidi="ar-SA"/>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rFonts w:ascii="Times New Roman" w:hAnsi="Times New Roman" w:eastAsia="宋体" w:cs="Times New Roman"/>
                <w:kern w:val="0"/>
                <w:sz w:val="21"/>
                <w:szCs w:val="21"/>
                <w:lang w:val="en-US" w:eastAsia="zh-CN" w:bidi="ar-SA"/>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restart"/>
            <w:noWrap w:val="0"/>
            <w:vAlign w:val="center"/>
          </w:tcPr>
          <w:p>
            <w:pPr>
              <w:widowControl/>
              <w:snapToGrid w:val="0"/>
              <w:jc w:val="center"/>
              <w:rPr>
                <w:kern w:val="0"/>
                <w:szCs w:val="21"/>
              </w:rPr>
            </w:pPr>
            <w:r>
              <w:rPr>
                <w:kern w:val="0"/>
                <w:szCs w:val="21"/>
              </w:rPr>
              <w:t>领域选修课</w:t>
            </w:r>
          </w:p>
          <w:p>
            <w:pPr>
              <w:widowControl/>
              <w:snapToGrid w:val="0"/>
              <w:jc w:val="center"/>
              <w:rPr>
                <w:kern w:val="0"/>
                <w:szCs w:val="21"/>
              </w:rPr>
            </w:pPr>
            <w:r>
              <w:rPr>
                <w:color w:val="auto"/>
                <w:kern w:val="0"/>
                <w:szCs w:val="21"/>
              </w:rPr>
              <w:t>Discipline elective course</w:t>
            </w:r>
            <w:r>
              <w:rPr>
                <w:kern w:val="0"/>
                <w:szCs w:val="21"/>
              </w:rPr>
              <w:t>(≥5)</w:t>
            </w:r>
          </w:p>
        </w:tc>
        <w:tc>
          <w:tcPr>
            <w:tcW w:w="1312" w:type="dxa"/>
            <w:noWrap w:val="0"/>
            <w:tcMar>
              <w:top w:w="0" w:type="dxa"/>
              <w:left w:w="51" w:type="dxa"/>
              <w:bottom w:w="0" w:type="dxa"/>
              <w:right w:w="51" w:type="dxa"/>
            </w:tcMar>
            <w:vAlign w:val="center"/>
          </w:tcPr>
          <w:p>
            <w:pPr>
              <w:widowControl/>
              <w:jc w:val="center"/>
              <w:rPr>
                <w:strike/>
                <w:kern w:val="0"/>
                <w:szCs w:val="21"/>
              </w:rPr>
            </w:pPr>
            <w:r>
              <w:rPr>
                <w:szCs w:val="21"/>
              </w:rPr>
              <w:t>yz202209366</w:t>
            </w:r>
          </w:p>
        </w:tc>
        <w:tc>
          <w:tcPr>
            <w:tcW w:w="3054" w:type="dxa"/>
            <w:noWrap w:val="0"/>
            <w:tcMar>
              <w:top w:w="0" w:type="dxa"/>
              <w:left w:w="108" w:type="dxa"/>
              <w:bottom w:w="0" w:type="dxa"/>
              <w:right w:w="51" w:type="dxa"/>
            </w:tcMar>
            <w:vAlign w:val="center"/>
          </w:tcPr>
          <w:p>
            <w:pPr>
              <w:widowControl/>
              <w:rPr>
                <w:kern w:val="0"/>
                <w:szCs w:val="21"/>
              </w:rPr>
            </w:pPr>
            <w:r>
              <w:rPr>
                <w:kern w:val="0"/>
                <w:szCs w:val="21"/>
              </w:rPr>
              <w:t>创新创业活动</w:t>
            </w:r>
          </w:p>
          <w:p>
            <w:pPr>
              <w:widowControl/>
              <w:rPr>
                <w:kern w:val="0"/>
                <w:szCs w:val="21"/>
              </w:rPr>
            </w:pPr>
            <w:r>
              <w:rPr>
                <w:rFonts w:hint="eastAsia"/>
                <w:kern w:val="0"/>
                <w:szCs w:val="21"/>
              </w:rPr>
              <w:t>Innovation and entrepreneurship activities</w:t>
            </w:r>
          </w:p>
        </w:tc>
        <w:tc>
          <w:tcPr>
            <w:tcW w:w="517" w:type="dxa"/>
            <w:noWrap w:val="0"/>
            <w:vAlign w:val="center"/>
          </w:tcPr>
          <w:p>
            <w:pPr>
              <w:widowControl/>
              <w:jc w:val="center"/>
              <w:rPr>
                <w:kern w:val="0"/>
                <w:szCs w:val="21"/>
              </w:rPr>
            </w:pPr>
            <w:r>
              <w:rPr>
                <w:kern w:val="0"/>
                <w:szCs w:val="21"/>
              </w:rPr>
              <w:t>16</w:t>
            </w:r>
          </w:p>
        </w:tc>
        <w:tc>
          <w:tcPr>
            <w:tcW w:w="564" w:type="dxa"/>
            <w:noWrap w:val="0"/>
            <w:vAlign w:val="center"/>
          </w:tcPr>
          <w:p>
            <w:pPr>
              <w:widowControl/>
              <w:jc w:val="center"/>
              <w:rPr>
                <w:kern w:val="0"/>
                <w:szCs w:val="21"/>
              </w:rPr>
            </w:pPr>
            <w:r>
              <w:rPr>
                <w:kern w:val="0"/>
                <w:szCs w:val="21"/>
              </w:rPr>
              <w:t>1</w:t>
            </w:r>
          </w:p>
        </w:tc>
        <w:tc>
          <w:tcPr>
            <w:tcW w:w="677" w:type="dxa"/>
            <w:noWrap w:val="0"/>
            <w:vAlign w:val="center"/>
          </w:tcPr>
          <w:p>
            <w:pPr>
              <w:widowControl/>
              <w:jc w:val="center"/>
              <w:rPr>
                <w:kern w:val="0"/>
                <w:szCs w:val="21"/>
              </w:rPr>
            </w:pPr>
            <w:r>
              <w:rPr>
                <w:kern w:val="0"/>
                <w:szCs w:val="21"/>
              </w:rPr>
              <w:t>考查</w:t>
            </w:r>
            <w:r>
              <w:rPr>
                <w:rFonts w:hint="eastAsia"/>
                <w:szCs w:val="21"/>
                <w:lang w:val="en-US" w:eastAsia="zh-CN"/>
              </w:rPr>
              <w:t>Test</w:t>
            </w:r>
          </w:p>
        </w:tc>
        <w:tc>
          <w:tcPr>
            <w:tcW w:w="714" w:type="dxa"/>
            <w:noWrap w:val="0"/>
            <w:vAlign w:val="center"/>
          </w:tcPr>
          <w:p>
            <w:pPr>
              <w:snapToGrid w:val="0"/>
              <w:jc w:val="center"/>
              <w:rPr>
                <w:kern w:val="0"/>
                <w:szCs w:val="21"/>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r>
              <w:rPr>
                <w:rFonts w:hint="eastAsia"/>
                <w:kern w:val="0"/>
                <w:szCs w:val="21"/>
                <w:lang w:val="en-US" w:eastAsia="zh-CN"/>
              </w:rPr>
              <w:t>Memo</w:t>
            </w: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center"/>
              <w:rPr>
                <w:kern w:val="0"/>
                <w:szCs w:val="21"/>
              </w:rPr>
            </w:pPr>
          </w:p>
        </w:tc>
        <w:tc>
          <w:tcPr>
            <w:tcW w:w="1312" w:type="dxa"/>
            <w:noWrap w:val="0"/>
            <w:tcMar>
              <w:top w:w="0" w:type="dxa"/>
              <w:left w:w="51" w:type="dxa"/>
              <w:bottom w:w="0" w:type="dxa"/>
              <w:right w:w="51" w:type="dxa"/>
            </w:tcMar>
            <w:vAlign w:val="center"/>
          </w:tcPr>
          <w:p>
            <w:pPr>
              <w:widowControl/>
              <w:jc w:val="center"/>
              <w:rPr>
                <w:kern w:val="0"/>
                <w:szCs w:val="21"/>
              </w:rPr>
            </w:pPr>
            <w:r>
              <w:rPr>
                <w:kern w:val="0"/>
                <w:szCs w:val="21"/>
              </w:rPr>
              <w:t>yz</w:t>
            </w:r>
            <w:r>
              <w:rPr>
                <w:szCs w:val="21"/>
              </w:rPr>
              <w:t>202209367</w:t>
            </w:r>
          </w:p>
        </w:tc>
        <w:tc>
          <w:tcPr>
            <w:tcW w:w="3054" w:type="dxa"/>
            <w:noWrap w:val="0"/>
            <w:tcMar>
              <w:top w:w="0" w:type="dxa"/>
              <w:left w:w="108" w:type="dxa"/>
              <w:bottom w:w="0" w:type="dxa"/>
              <w:right w:w="51" w:type="dxa"/>
            </w:tcMar>
            <w:vAlign w:val="center"/>
          </w:tcPr>
          <w:p>
            <w:pPr>
              <w:widowControl/>
              <w:rPr>
                <w:szCs w:val="21"/>
              </w:rPr>
            </w:pPr>
            <w:r>
              <w:rPr>
                <w:szCs w:val="21"/>
              </w:rPr>
              <w:t>网络科学基本方法</w:t>
            </w:r>
          </w:p>
          <w:p>
            <w:pPr>
              <w:widowControl/>
              <w:rPr>
                <w:szCs w:val="21"/>
              </w:rPr>
            </w:pPr>
            <w:r>
              <w:rPr>
                <w:rFonts w:hint="eastAsia"/>
                <w:szCs w:val="21"/>
              </w:rPr>
              <w:t>Basic Methods of Network Science</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jc w:val="center"/>
              <w:rPr>
                <w:kern w:val="0"/>
                <w:szCs w:val="21"/>
              </w:rPr>
            </w:pPr>
            <w:r>
              <w:rPr>
                <w:kern w:val="0"/>
                <w:szCs w:val="21"/>
              </w:rPr>
              <w:t>考查</w:t>
            </w:r>
            <w:r>
              <w:rPr>
                <w:rFonts w:hint="eastAsia"/>
                <w:szCs w:val="21"/>
                <w:lang w:val="en-US" w:eastAsia="zh-CN"/>
              </w:rPr>
              <w:t>Test</w:t>
            </w:r>
          </w:p>
        </w:tc>
        <w:tc>
          <w:tcPr>
            <w:tcW w:w="714" w:type="dxa"/>
            <w:noWrap w:val="0"/>
            <w:vAlign w:val="center"/>
          </w:tcPr>
          <w:p>
            <w:pPr>
              <w:snapToGrid w:val="0"/>
              <w:jc w:val="center"/>
              <w:rPr>
                <w:kern w:val="0"/>
                <w:szCs w:val="21"/>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center"/>
              <w:rPr>
                <w:kern w:val="0"/>
                <w:szCs w:val="21"/>
              </w:rPr>
            </w:pPr>
          </w:p>
        </w:tc>
        <w:tc>
          <w:tcPr>
            <w:tcW w:w="1312" w:type="dxa"/>
            <w:noWrap w:val="0"/>
            <w:tcMar>
              <w:top w:w="0" w:type="dxa"/>
              <w:left w:w="51" w:type="dxa"/>
              <w:bottom w:w="0" w:type="dxa"/>
              <w:right w:w="51" w:type="dxa"/>
            </w:tcMar>
            <w:vAlign w:val="center"/>
          </w:tcPr>
          <w:p>
            <w:pPr>
              <w:widowControl/>
              <w:jc w:val="center"/>
              <w:rPr>
                <w:kern w:val="0"/>
                <w:szCs w:val="21"/>
              </w:rPr>
            </w:pPr>
            <w:r>
              <w:rPr>
                <w:szCs w:val="21"/>
              </w:rPr>
              <w:t>yz202209368</w:t>
            </w:r>
          </w:p>
        </w:tc>
        <w:tc>
          <w:tcPr>
            <w:tcW w:w="3054" w:type="dxa"/>
            <w:noWrap w:val="0"/>
            <w:tcMar>
              <w:top w:w="0" w:type="dxa"/>
              <w:left w:w="108" w:type="dxa"/>
              <w:bottom w:w="0" w:type="dxa"/>
              <w:right w:w="51" w:type="dxa"/>
            </w:tcMar>
            <w:vAlign w:val="center"/>
          </w:tcPr>
          <w:p>
            <w:pPr>
              <w:widowControl/>
              <w:rPr>
                <w:kern w:val="0"/>
                <w:szCs w:val="21"/>
              </w:rPr>
            </w:pPr>
            <w:r>
              <w:rPr>
                <w:kern w:val="0"/>
                <w:szCs w:val="21"/>
              </w:rPr>
              <w:t>现代信息检索理论与方法</w:t>
            </w:r>
          </w:p>
          <w:p>
            <w:pPr>
              <w:widowControl/>
              <w:rPr>
                <w:kern w:val="0"/>
                <w:szCs w:val="21"/>
              </w:rPr>
            </w:pPr>
            <w:r>
              <w:rPr>
                <w:rFonts w:hint="eastAsia"/>
                <w:kern w:val="0"/>
                <w:szCs w:val="21"/>
              </w:rPr>
              <w:t>Theory and Method of Modern Information Retrieval</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jc w:val="center"/>
              <w:rPr>
                <w:kern w:val="0"/>
                <w:szCs w:val="21"/>
              </w:rPr>
            </w:pPr>
            <w:r>
              <w:rPr>
                <w:kern w:val="0"/>
                <w:szCs w:val="21"/>
              </w:rPr>
              <w:t>考查</w:t>
            </w:r>
            <w:r>
              <w:rPr>
                <w:rFonts w:hint="eastAsia"/>
                <w:szCs w:val="21"/>
                <w:lang w:val="en-US" w:eastAsia="zh-CN"/>
              </w:rPr>
              <w:t>Test</w:t>
            </w:r>
          </w:p>
        </w:tc>
        <w:tc>
          <w:tcPr>
            <w:tcW w:w="714" w:type="dxa"/>
            <w:noWrap w:val="0"/>
            <w:vAlign w:val="center"/>
          </w:tcPr>
          <w:p>
            <w:pPr>
              <w:snapToGrid w:val="0"/>
              <w:jc w:val="center"/>
              <w:rPr>
                <w:kern w:val="0"/>
                <w:szCs w:val="21"/>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center"/>
              <w:rPr>
                <w:kern w:val="0"/>
                <w:szCs w:val="21"/>
              </w:rPr>
            </w:pPr>
          </w:p>
        </w:tc>
        <w:tc>
          <w:tcPr>
            <w:tcW w:w="1312" w:type="dxa"/>
            <w:noWrap w:val="0"/>
            <w:tcMar>
              <w:top w:w="0" w:type="dxa"/>
              <w:left w:w="51" w:type="dxa"/>
              <w:bottom w:w="0" w:type="dxa"/>
              <w:right w:w="51" w:type="dxa"/>
            </w:tcMar>
            <w:vAlign w:val="center"/>
          </w:tcPr>
          <w:p>
            <w:pPr>
              <w:widowControl/>
              <w:jc w:val="center"/>
              <w:rPr>
                <w:kern w:val="0"/>
                <w:szCs w:val="21"/>
              </w:rPr>
            </w:pPr>
            <w:r>
              <w:rPr>
                <w:szCs w:val="21"/>
              </w:rPr>
              <w:t>yz202209370</w:t>
            </w:r>
          </w:p>
        </w:tc>
        <w:tc>
          <w:tcPr>
            <w:tcW w:w="3054" w:type="dxa"/>
            <w:noWrap w:val="0"/>
            <w:tcMar>
              <w:top w:w="0" w:type="dxa"/>
              <w:left w:w="108" w:type="dxa"/>
              <w:bottom w:w="0" w:type="dxa"/>
              <w:right w:w="51" w:type="dxa"/>
            </w:tcMar>
            <w:vAlign w:val="center"/>
          </w:tcPr>
          <w:p>
            <w:pPr>
              <w:widowControl/>
              <w:jc w:val="left"/>
              <w:rPr>
                <w:szCs w:val="21"/>
              </w:rPr>
            </w:pPr>
            <w:r>
              <w:rPr>
                <w:szCs w:val="21"/>
              </w:rPr>
              <w:t>用户体验与交互设计</w:t>
            </w:r>
          </w:p>
          <w:p>
            <w:pPr>
              <w:widowControl/>
              <w:jc w:val="left"/>
              <w:rPr>
                <w:szCs w:val="21"/>
              </w:rPr>
            </w:pPr>
            <w:r>
              <w:rPr>
                <w:color w:val="000000"/>
                <w:szCs w:val="21"/>
              </w:rPr>
              <w:t>Design on User Experience and Human-Computer Interaction</w:t>
            </w:r>
          </w:p>
        </w:tc>
        <w:tc>
          <w:tcPr>
            <w:tcW w:w="517" w:type="dxa"/>
            <w:noWrap w:val="0"/>
            <w:vAlign w:val="center"/>
          </w:tcPr>
          <w:p>
            <w:pPr>
              <w:widowControl/>
              <w:jc w:val="center"/>
              <w:rPr>
                <w:kern w:val="0"/>
                <w:szCs w:val="21"/>
              </w:rPr>
            </w:pPr>
            <w:r>
              <w:rPr>
                <w:kern w:val="0"/>
                <w:szCs w:val="21"/>
              </w:rPr>
              <w:t>32</w:t>
            </w:r>
          </w:p>
        </w:tc>
        <w:tc>
          <w:tcPr>
            <w:tcW w:w="564" w:type="dxa"/>
            <w:noWrap w:val="0"/>
            <w:vAlign w:val="center"/>
          </w:tcPr>
          <w:p>
            <w:pPr>
              <w:widowControl/>
              <w:jc w:val="center"/>
              <w:rPr>
                <w:kern w:val="0"/>
                <w:szCs w:val="21"/>
              </w:rPr>
            </w:pPr>
            <w:r>
              <w:rPr>
                <w:kern w:val="0"/>
                <w:szCs w:val="21"/>
              </w:rPr>
              <w:t>2</w:t>
            </w:r>
          </w:p>
        </w:tc>
        <w:tc>
          <w:tcPr>
            <w:tcW w:w="677" w:type="dxa"/>
            <w:noWrap w:val="0"/>
            <w:vAlign w:val="center"/>
          </w:tcPr>
          <w:p>
            <w:pPr>
              <w:widowControl/>
              <w:jc w:val="center"/>
              <w:rPr>
                <w:kern w:val="0"/>
                <w:szCs w:val="21"/>
              </w:rPr>
            </w:pPr>
            <w:r>
              <w:rPr>
                <w:kern w:val="0"/>
                <w:szCs w:val="21"/>
              </w:rPr>
              <w:t>考查</w:t>
            </w:r>
            <w:r>
              <w:rPr>
                <w:rFonts w:hint="eastAsia"/>
                <w:szCs w:val="21"/>
                <w:lang w:val="en-US" w:eastAsia="zh-CN"/>
              </w:rPr>
              <w:t>Test</w:t>
            </w:r>
          </w:p>
        </w:tc>
        <w:tc>
          <w:tcPr>
            <w:tcW w:w="714" w:type="dxa"/>
            <w:noWrap w:val="0"/>
            <w:vAlign w:val="center"/>
          </w:tcPr>
          <w:p>
            <w:pPr>
              <w:snapToGrid w:val="0"/>
              <w:jc w:val="center"/>
              <w:rPr>
                <w:kern w:val="0"/>
                <w:szCs w:val="21"/>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735" w:type="dxa"/>
            <w:vMerge w:val="continue"/>
            <w:noWrap w:val="0"/>
            <w:vAlign w:val="center"/>
          </w:tcPr>
          <w:p>
            <w:pPr>
              <w:widowControl/>
              <w:snapToGrid w:val="0"/>
              <w:jc w:val="left"/>
              <w:rPr>
                <w:kern w:val="0"/>
                <w:szCs w:val="21"/>
              </w:rPr>
            </w:pPr>
          </w:p>
        </w:tc>
        <w:tc>
          <w:tcPr>
            <w:tcW w:w="724" w:type="dxa"/>
            <w:vMerge w:val="continue"/>
            <w:noWrap w:val="0"/>
            <w:vAlign w:val="center"/>
          </w:tcPr>
          <w:p>
            <w:pPr>
              <w:widowControl/>
              <w:snapToGrid w:val="0"/>
              <w:jc w:val="center"/>
              <w:rPr>
                <w:kern w:val="0"/>
                <w:szCs w:val="21"/>
              </w:rPr>
            </w:pPr>
          </w:p>
        </w:tc>
        <w:tc>
          <w:tcPr>
            <w:tcW w:w="1312" w:type="dxa"/>
            <w:noWrap w:val="0"/>
            <w:tcMar>
              <w:top w:w="0" w:type="dxa"/>
              <w:left w:w="51" w:type="dxa"/>
              <w:bottom w:w="0" w:type="dxa"/>
              <w:right w:w="51" w:type="dxa"/>
            </w:tcMar>
            <w:vAlign w:val="center"/>
          </w:tcPr>
          <w:p>
            <w:pPr>
              <w:widowControl/>
              <w:jc w:val="center"/>
              <w:rPr>
                <w:szCs w:val="21"/>
              </w:rPr>
            </w:pPr>
            <w:r>
              <w:rPr>
                <w:szCs w:val="21"/>
              </w:rPr>
              <w:t>yz202209371</w:t>
            </w:r>
          </w:p>
        </w:tc>
        <w:tc>
          <w:tcPr>
            <w:tcW w:w="3054" w:type="dxa"/>
            <w:noWrap w:val="0"/>
            <w:tcMar>
              <w:top w:w="0" w:type="dxa"/>
              <w:left w:w="108" w:type="dxa"/>
              <w:bottom w:w="0" w:type="dxa"/>
              <w:right w:w="51" w:type="dxa"/>
            </w:tcMar>
            <w:vAlign w:val="center"/>
          </w:tcPr>
          <w:p>
            <w:pPr>
              <w:widowControl/>
              <w:jc w:val="left"/>
              <w:rPr>
                <w:szCs w:val="21"/>
              </w:rPr>
            </w:pPr>
            <w:r>
              <w:rPr>
                <w:szCs w:val="21"/>
              </w:rPr>
              <w:t>学术研究方法</w:t>
            </w:r>
            <w:bookmarkStart w:id="0" w:name="_GoBack"/>
            <w:bookmarkEnd w:id="0"/>
            <w:r>
              <w:rPr>
                <w:szCs w:val="21"/>
              </w:rPr>
              <w:t>与规范</w:t>
            </w:r>
          </w:p>
          <w:p>
            <w:pPr>
              <w:widowControl/>
              <w:jc w:val="left"/>
              <w:rPr>
                <w:szCs w:val="21"/>
              </w:rPr>
            </w:pPr>
            <w:r>
              <w:rPr>
                <w:rFonts w:hint="eastAsia"/>
                <w:szCs w:val="21"/>
              </w:rPr>
              <w:t>Academic research methods and norms</w:t>
            </w:r>
          </w:p>
        </w:tc>
        <w:tc>
          <w:tcPr>
            <w:tcW w:w="517" w:type="dxa"/>
            <w:noWrap w:val="0"/>
            <w:vAlign w:val="center"/>
          </w:tcPr>
          <w:p>
            <w:pPr>
              <w:widowControl/>
              <w:jc w:val="center"/>
              <w:rPr>
                <w:kern w:val="0"/>
                <w:szCs w:val="21"/>
              </w:rPr>
            </w:pPr>
            <w:r>
              <w:rPr>
                <w:kern w:val="0"/>
                <w:szCs w:val="21"/>
              </w:rPr>
              <w:t>16</w:t>
            </w:r>
          </w:p>
        </w:tc>
        <w:tc>
          <w:tcPr>
            <w:tcW w:w="564" w:type="dxa"/>
            <w:noWrap w:val="0"/>
            <w:vAlign w:val="center"/>
          </w:tcPr>
          <w:p>
            <w:pPr>
              <w:widowControl/>
              <w:jc w:val="center"/>
              <w:rPr>
                <w:kern w:val="0"/>
                <w:szCs w:val="21"/>
              </w:rPr>
            </w:pPr>
            <w:r>
              <w:rPr>
                <w:kern w:val="0"/>
                <w:szCs w:val="21"/>
              </w:rPr>
              <w:t>1</w:t>
            </w:r>
          </w:p>
        </w:tc>
        <w:tc>
          <w:tcPr>
            <w:tcW w:w="677" w:type="dxa"/>
            <w:noWrap w:val="0"/>
            <w:vAlign w:val="center"/>
          </w:tcPr>
          <w:p>
            <w:pPr>
              <w:widowControl/>
              <w:jc w:val="center"/>
              <w:rPr>
                <w:kern w:val="0"/>
                <w:szCs w:val="21"/>
              </w:rPr>
            </w:pPr>
            <w:r>
              <w:rPr>
                <w:kern w:val="0"/>
                <w:szCs w:val="21"/>
              </w:rPr>
              <w:t>考查</w:t>
            </w:r>
            <w:r>
              <w:rPr>
                <w:rFonts w:hint="eastAsia"/>
                <w:szCs w:val="21"/>
                <w:lang w:val="en-US" w:eastAsia="zh-CN"/>
              </w:rPr>
              <w:t>Test</w:t>
            </w:r>
          </w:p>
        </w:tc>
        <w:tc>
          <w:tcPr>
            <w:tcW w:w="714" w:type="dxa"/>
            <w:noWrap w:val="0"/>
            <w:vAlign w:val="center"/>
          </w:tcPr>
          <w:p>
            <w:pPr>
              <w:snapToGrid w:val="0"/>
              <w:jc w:val="center"/>
              <w:rPr>
                <w:kern w:val="0"/>
                <w:szCs w:val="21"/>
              </w:rPr>
            </w:pPr>
            <w:r>
              <w:rPr>
                <w:kern w:val="0"/>
                <w:szCs w:val="21"/>
              </w:rPr>
              <w:t>2</w:t>
            </w:r>
          </w:p>
        </w:tc>
        <w:tc>
          <w:tcPr>
            <w:tcW w:w="1454" w:type="dxa"/>
            <w:noWrap w:val="0"/>
            <w:vAlign w:val="center"/>
          </w:tcPr>
          <w:p>
            <w:pPr>
              <w:widowControl/>
              <w:snapToGrid w:val="0"/>
              <w:jc w:val="center"/>
              <w:rPr>
                <w:kern w:val="0"/>
                <w:szCs w:val="21"/>
              </w:rPr>
            </w:pPr>
            <w:r>
              <w:rPr>
                <w:kern w:val="0"/>
                <w:szCs w:val="21"/>
              </w:rPr>
              <w:t>软件学院</w:t>
            </w:r>
          </w:p>
          <w:p>
            <w:pPr>
              <w:widowControl/>
              <w:snapToGrid w:val="0"/>
              <w:jc w:val="center"/>
              <w:rPr>
                <w:kern w:val="0"/>
                <w:szCs w:val="21"/>
              </w:rPr>
            </w:pPr>
            <w:r>
              <w:rPr>
                <w:rFonts w:hint="eastAsia"/>
                <w:kern w:val="0"/>
                <w:szCs w:val="21"/>
                <w:lang w:val="en-US" w:eastAsia="zh-CN"/>
              </w:rPr>
              <w:t>Software College</w:t>
            </w:r>
          </w:p>
        </w:tc>
        <w:tc>
          <w:tcPr>
            <w:tcW w:w="867" w:type="dxa"/>
            <w:noWrap w:val="0"/>
            <w:vAlign w:val="center"/>
          </w:tcPr>
          <w:p>
            <w:pPr>
              <w:widowControl/>
              <w:snapToGrid w:val="0"/>
              <w:jc w:val="center"/>
              <w:rPr>
                <w:rFonts w:hint="default" w:eastAsia="宋体"/>
                <w:kern w:val="0"/>
                <w:szCs w:val="21"/>
                <w:lang w:val="en-US" w:eastAsia="zh-CN"/>
              </w:rPr>
            </w:pPr>
            <w:r>
              <w:rPr>
                <w:rFonts w:hint="eastAsia"/>
                <w:kern w:val="0"/>
                <w:szCs w:val="21"/>
                <w:lang w:val="en-US" w:eastAsia="zh-CN"/>
              </w:rPr>
              <w:t xml:space="preserve">必选Compulsory </w:t>
            </w:r>
          </w:p>
        </w:tc>
      </w:tr>
    </w:tbl>
    <w:p>
      <w:pPr>
        <w:ind w:firstLine="420" w:firstLineChars="200"/>
        <w:jc w:val="center"/>
      </w:pPr>
    </w:p>
    <w:p>
      <w:pPr>
        <w:widowControl/>
        <w:spacing w:line="300" w:lineRule="auto"/>
        <w:ind w:firstLine="420" w:firstLineChars="200"/>
        <w:rPr>
          <w:rFonts w:hint="eastAsia"/>
          <w:color w:val="auto"/>
          <w:szCs w:val="21"/>
          <w:lang w:val="en-US" w:eastAsia="zh-CN"/>
        </w:rPr>
      </w:pPr>
    </w:p>
    <w:p>
      <w:pPr>
        <w:spacing w:line="360" w:lineRule="auto"/>
        <w:ind w:firstLine="480" w:firstLineChars="200"/>
        <w:rPr>
          <w:sz w:val="24"/>
          <w:szCs w:val="22"/>
        </w:rPr>
      </w:pPr>
      <w:r>
        <w:rPr>
          <w:sz w:val="24"/>
          <w:szCs w:val="22"/>
        </w:rPr>
        <w:t>备注</w:t>
      </w:r>
      <w:r>
        <w:rPr>
          <w:rFonts w:hint="eastAsia"/>
          <w:sz w:val="24"/>
          <w:szCs w:val="22"/>
        </w:rPr>
        <w:t>1</w:t>
      </w:r>
      <w:r>
        <w:rPr>
          <w:sz w:val="24"/>
          <w:szCs w:val="22"/>
        </w:rPr>
        <w:t>：“创新创业活动”为工程硕士研究生必选课程，该课程1学分（16学时）。通过课堂教学、系列讲座、经验交流、创新创业竞赛等形式完成，具体折算学时由学院规定。</w:t>
      </w:r>
    </w:p>
    <w:p>
      <w:pPr>
        <w:spacing w:line="360" w:lineRule="auto"/>
        <w:ind w:firstLine="480" w:firstLineChars="200"/>
        <w:rPr>
          <w:rFonts w:hint="default" w:eastAsia="宋体"/>
          <w:sz w:val="24"/>
          <w:szCs w:val="22"/>
          <w:lang w:val="en-US" w:eastAsia="zh-CN"/>
        </w:rPr>
      </w:pPr>
      <w:r>
        <w:rPr>
          <w:rFonts w:hint="eastAsia"/>
          <w:sz w:val="24"/>
          <w:szCs w:val="22"/>
          <w:lang w:val="en-US" w:eastAsia="zh-CN"/>
        </w:rPr>
        <w:t>Memo 1：</w:t>
      </w:r>
      <w:r>
        <w:rPr>
          <w:rFonts w:hint="eastAsia"/>
          <w:kern w:val="0"/>
          <w:szCs w:val="21"/>
        </w:rPr>
        <w:t>Innovation and entrepreneurship activities</w:t>
      </w:r>
      <w:r>
        <w:rPr>
          <w:rFonts w:hint="eastAsia"/>
          <w:kern w:val="0"/>
          <w:szCs w:val="21"/>
          <w:lang w:val="en-US" w:eastAsia="zh-CN"/>
        </w:rPr>
        <w:t xml:space="preserve"> is compulsory course with 1 credit ( 16 teaching hours), earn by learning courses, seminars, experience exchange, innovation competitions, etc. </w:t>
      </w:r>
    </w:p>
    <w:p>
      <w:pPr>
        <w:widowControl/>
        <w:spacing w:line="300" w:lineRule="auto"/>
        <w:ind w:firstLine="420" w:firstLineChars="200"/>
        <w:rPr>
          <w:color w:val="auto"/>
          <w:kern w:val="0"/>
          <w:szCs w:val="21"/>
          <w:shd w:val="clear" w:color="auto" w:fill="FFFFFF"/>
          <w:lang w:bidi="ar"/>
        </w:rPr>
      </w:pPr>
      <w:r>
        <w:rPr>
          <w:rFonts w:hint="eastAsia" w:ascii="Arial" w:hAnsi="Arial" w:cs="Arial"/>
          <w:color w:val="auto"/>
          <w:kern w:val="0"/>
          <w:szCs w:val="21"/>
          <w:shd w:val="clear" w:color="auto" w:fill="FFFFFF"/>
          <w:lang w:bidi="ar"/>
        </w:rPr>
        <w:t>三</w:t>
      </w:r>
      <w:r>
        <w:rPr>
          <w:rFonts w:hint="eastAsia" w:eastAsia="黑体"/>
          <w:color w:val="auto"/>
          <w:szCs w:val="21"/>
        </w:rPr>
        <w:t>、必修环节与学分要求</w:t>
      </w:r>
      <w:r>
        <w:rPr>
          <w:color w:val="auto"/>
          <w:kern w:val="0"/>
          <w:szCs w:val="21"/>
          <w:shd w:val="clear" w:color="auto" w:fill="FFFFFF"/>
          <w:lang w:bidi="ar"/>
        </w:rPr>
        <w:t>III. Compulsory courses and credit requirements</w:t>
      </w:r>
    </w:p>
    <w:p>
      <w:pPr>
        <w:spacing w:line="300" w:lineRule="auto"/>
        <w:ind w:firstLine="420" w:firstLineChars="200"/>
        <w:rPr>
          <w:rFonts w:eastAsia="黑体"/>
          <w:color w:val="auto"/>
          <w:szCs w:val="21"/>
        </w:rPr>
      </w:pPr>
    </w:p>
    <w:p>
      <w:pPr>
        <w:spacing w:line="360" w:lineRule="auto"/>
        <w:ind w:firstLine="480" w:firstLineChars="200"/>
        <w:rPr>
          <w:sz w:val="24"/>
          <w:szCs w:val="22"/>
        </w:rPr>
      </w:pPr>
      <w:r>
        <w:rPr>
          <w:rFonts w:hint="eastAsia"/>
          <w:sz w:val="24"/>
          <w:szCs w:val="22"/>
        </w:rPr>
        <w:t>科学精神与文化素养教育</w:t>
      </w:r>
      <w:r>
        <w:rPr>
          <w:sz w:val="24"/>
          <w:szCs w:val="22"/>
        </w:rPr>
        <w:t>、学术活动、专业实践是硕士专业学位研究生应完成的必修环节，研究生须获得相应学分。</w:t>
      </w:r>
    </w:p>
    <w:p>
      <w:pPr>
        <w:widowControl/>
        <w:spacing w:line="300" w:lineRule="auto"/>
        <w:ind w:firstLine="420" w:firstLineChars="200"/>
        <w:rPr>
          <w:rFonts w:ascii="Arial" w:hAnsi="Arial" w:cs="Arial"/>
          <w:color w:val="auto"/>
          <w:kern w:val="0"/>
          <w:szCs w:val="21"/>
          <w:shd w:val="clear" w:color="auto" w:fill="FFFFFF"/>
          <w:lang w:bidi="ar"/>
        </w:rPr>
      </w:pPr>
      <w:r>
        <w:rPr>
          <w:color w:val="auto"/>
          <w:szCs w:val="21"/>
        </w:rPr>
        <w:t xml:space="preserve">Scientific literacy and humanistic quality education, practical activities and academic activities are compulsory for </w:t>
      </w:r>
      <w:r>
        <w:rPr>
          <w:rFonts w:hint="eastAsia"/>
          <w:color w:val="auto"/>
          <w:szCs w:val="21"/>
          <w:lang w:val="en-US" w:eastAsia="zh-CN"/>
        </w:rPr>
        <w:t>master</w:t>
      </w:r>
      <w:r>
        <w:rPr>
          <w:color w:val="auto"/>
          <w:szCs w:val="21"/>
        </w:rPr>
        <w:t xml:space="preserve"> students, and they must complete corresponding credits. The basic requirements are as following:</w:t>
      </w:r>
    </w:p>
    <w:tbl>
      <w:tblPr>
        <w:tblStyle w:val="3"/>
        <w:tblW w:w="89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3"/>
        <w:gridCol w:w="910"/>
        <w:gridCol w:w="1232"/>
        <w:gridCol w:w="728"/>
        <w:gridCol w:w="1411"/>
        <w:gridCol w:w="1114"/>
        <w:gridCol w:w="1153"/>
        <w:gridCol w:w="1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323" w:type="dxa"/>
            <w:noWrap w:val="0"/>
            <w:vAlign w:val="center"/>
          </w:tcPr>
          <w:p>
            <w:pPr>
              <w:widowControl/>
              <w:snapToGrid w:val="0"/>
              <w:jc w:val="center"/>
              <w:rPr>
                <w:b/>
                <w:bCs/>
                <w:kern w:val="0"/>
                <w:szCs w:val="21"/>
              </w:rPr>
            </w:pPr>
            <w:r>
              <w:rPr>
                <w:b/>
                <w:bCs/>
                <w:kern w:val="0"/>
                <w:szCs w:val="21"/>
              </w:rPr>
              <w:t>必修环节</w:t>
            </w:r>
          </w:p>
          <w:p>
            <w:pPr>
              <w:widowControl/>
              <w:snapToGrid w:val="0"/>
              <w:jc w:val="center"/>
              <w:rPr>
                <w:rFonts w:hint="default" w:eastAsia="宋体"/>
                <w:b/>
                <w:bCs/>
                <w:kern w:val="0"/>
                <w:szCs w:val="21"/>
                <w:lang w:val="en-US" w:eastAsia="zh-CN"/>
              </w:rPr>
            </w:pPr>
            <w:r>
              <w:rPr>
                <w:rFonts w:hint="eastAsia"/>
                <w:b/>
                <w:bCs/>
                <w:kern w:val="0"/>
                <w:szCs w:val="21"/>
                <w:lang w:val="en-US" w:eastAsia="zh-CN"/>
              </w:rPr>
              <w:t>Session</w:t>
            </w:r>
          </w:p>
        </w:tc>
        <w:tc>
          <w:tcPr>
            <w:tcW w:w="910" w:type="dxa"/>
            <w:noWrap w:val="0"/>
            <w:vAlign w:val="center"/>
          </w:tcPr>
          <w:p>
            <w:pPr>
              <w:widowControl/>
              <w:snapToGrid w:val="0"/>
              <w:jc w:val="center"/>
              <w:rPr>
                <w:b/>
                <w:bCs/>
                <w:kern w:val="0"/>
                <w:szCs w:val="21"/>
              </w:rPr>
            </w:pPr>
            <w:r>
              <w:rPr>
                <w:b/>
                <w:bCs/>
                <w:kern w:val="0"/>
                <w:szCs w:val="21"/>
              </w:rPr>
              <w:t>对应课程编号</w:t>
            </w:r>
          </w:p>
          <w:p>
            <w:pPr>
              <w:widowControl/>
              <w:snapToGrid w:val="0"/>
              <w:jc w:val="center"/>
              <w:rPr>
                <w:rFonts w:hint="default" w:eastAsia="宋体"/>
                <w:b/>
                <w:bCs/>
                <w:kern w:val="0"/>
                <w:szCs w:val="21"/>
                <w:lang w:val="en-US" w:eastAsia="zh-CN"/>
              </w:rPr>
            </w:pPr>
            <w:r>
              <w:rPr>
                <w:rFonts w:hint="eastAsia"/>
                <w:b/>
                <w:bCs/>
                <w:kern w:val="0"/>
                <w:szCs w:val="21"/>
                <w:lang w:val="en-US" w:eastAsia="zh-CN"/>
              </w:rPr>
              <w:t>Course No</w:t>
            </w:r>
          </w:p>
        </w:tc>
        <w:tc>
          <w:tcPr>
            <w:tcW w:w="1232" w:type="dxa"/>
            <w:noWrap w:val="0"/>
            <w:vAlign w:val="center"/>
          </w:tcPr>
          <w:p>
            <w:pPr>
              <w:widowControl/>
              <w:snapToGrid w:val="0"/>
              <w:jc w:val="center"/>
              <w:rPr>
                <w:b/>
                <w:bCs/>
                <w:kern w:val="0"/>
                <w:szCs w:val="21"/>
              </w:rPr>
            </w:pPr>
            <w:r>
              <w:rPr>
                <w:b/>
                <w:bCs/>
                <w:kern w:val="0"/>
                <w:szCs w:val="21"/>
              </w:rPr>
              <w:t>对应课程名称</w:t>
            </w:r>
          </w:p>
          <w:p>
            <w:pPr>
              <w:widowControl/>
              <w:snapToGrid w:val="0"/>
              <w:jc w:val="center"/>
              <w:rPr>
                <w:rFonts w:hint="default" w:eastAsia="宋体"/>
                <w:b/>
                <w:bCs/>
                <w:kern w:val="0"/>
                <w:szCs w:val="21"/>
                <w:lang w:val="en-US" w:eastAsia="zh-CN"/>
              </w:rPr>
            </w:pPr>
            <w:r>
              <w:rPr>
                <w:rFonts w:hint="eastAsia"/>
                <w:b/>
                <w:bCs/>
                <w:kern w:val="0"/>
                <w:szCs w:val="21"/>
                <w:lang w:val="en-US" w:eastAsia="zh-CN"/>
              </w:rPr>
              <w:t>Course Name</w:t>
            </w:r>
          </w:p>
        </w:tc>
        <w:tc>
          <w:tcPr>
            <w:tcW w:w="728" w:type="dxa"/>
            <w:noWrap w:val="0"/>
            <w:vAlign w:val="center"/>
          </w:tcPr>
          <w:p>
            <w:pPr>
              <w:widowControl/>
              <w:snapToGrid w:val="0"/>
              <w:jc w:val="center"/>
              <w:rPr>
                <w:b/>
                <w:bCs/>
                <w:kern w:val="0"/>
                <w:szCs w:val="21"/>
              </w:rPr>
            </w:pPr>
            <w:r>
              <w:rPr>
                <w:b/>
                <w:bCs/>
                <w:kern w:val="0"/>
                <w:szCs w:val="21"/>
              </w:rPr>
              <w:t>学分</w:t>
            </w:r>
          </w:p>
          <w:p>
            <w:pPr>
              <w:widowControl/>
              <w:snapToGrid w:val="0"/>
              <w:jc w:val="center"/>
              <w:rPr>
                <w:rFonts w:hint="default" w:eastAsia="宋体"/>
                <w:b/>
                <w:bCs/>
                <w:kern w:val="0"/>
                <w:szCs w:val="21"/>
                <w:lang w:val="en-US" w:eastAsia="zh-CN"/>
              </w:rPr>
            </w:pPr>
            <w:r>
              <w:rPr>
                <w:rFonts w:hint="eastAsia"/>
                <w:b/>
                <w:bCs/>
                <w:kern w:val="0"/>
                <w:szCs w:val="21"/>
                <w:lang w:val="en-US" w:eastAsia="zh-CN"/>
              </w:rPr>
              <w:t>Credit</w:t>
            </w:r>
          </w:p>
        </w:tc>
        <w:tc>
          <w:tcPr>
            <w:tcW w:w="1411" w:type="dxa"/>
            <w:noWrap w:val="0"/>
            <w:vAlign w:val="center"/>
          </w:tcPr>
          <w:p>
            <w:pPr>
              <w:widowControl/>
              <w:snapToGrid w:val="0"/>
              <w:jc w:val="center"/>
              <w:rPr>
                <w:b/>
                <w:bCs/>
                <w:kern w:val="0"/>
                <w:szCs w:val="21"/>
              </w:rPr>
            </w:pPr>
            <w:r>
              <w:rPr>
                <w:b/>
                <w:bCs/>
                <w:kern w:val="0"/>
                <w:szCs w:val="21"/>
              </w:rPr>
              <w:t>考核方式</w:t>
            </w:r>
          </w:p>
          <w:p>
            <w:pPr>
              <w:widowControl/>
              <w:snapToGrid w:val="0"/>
              <w:jc w:val="center"/>
              <w:rPr>
                <w:rFonts w:hint="default" w:eastAsia="宋体"/>
                <w:b/>
                <w:bCs/>
                <w:kern w:val="0"/>
                <w:szCs w:val="21"/>
                <w:lang w:val="en-US" w:eastAsia="zh-CN"/>
              </w:rPr>
            </w:pPr>
            <w:r>
              <w:rPr>
                <w:rFonts w:hint="eastAsia"/>
                <w:b/>
                <w:bCs/>
                <w:kern w:val="0"/>
                <w:szCs w:val="21"/>
                <w:lang w:val="en-US" w:eastAsia="zh-CN"/>
              </w:rPr>
              <w:t>Assessment method</w:t>
            </w:r>
          </w:p>
        </w:tc>
        <w:tc>
          <w:tcPr>
            <w:tcW w:w="1114" w:type="dxa"/>
            <w:noWrap w:val="0"/>
            <w:vAlign w:val="center"/>
          </w:tcPr>
          <w:p>
            <w:pPr>
              <w:widowControl/>
              <w:snapToGrid w:val="0"/>
              <w:jc w:val="center"/>
              <w:rPr>
                <w:b/>
                <w:bCs/>
                <w:kern w:val="0"/>
                <w:szCs w:val="21"/>
              </w:rPr>
            </w:pPr>
            <w:r>
              <w:rPr>
                <w:b/>
                <w:bCs/>
                <w:kern w:val="0"/>
                <w:szCs w:val="21"/>
              </w:rPr>
              <w:t>开课学期</w:t>
            </w:r>
          </w:p>
          <w:p>
            <w:pPr>
              <w:widowControl/>
              <w:snapToGrid w:val="0"/>
              <w:jc w:val="center"/>
              <w:rPr>
                <w:rFonts w:hint="default" w:eastAsia="宋体"/>
                <w:b/>
                <w:bCs/>
                <w:kern w:val="0"/>
                <w:szCs w:val="21"/>
                <w:lang w:val="en-US" w:eastAsia="zh-CN"/>
              </w:rPr>
            </w:pPr>
            <w:r>
              <w:rPr>
                <w:rFonts w:hint="eastAsia"/>
                <w:b/>
                <w:bCs/>
                <w:kern w:val="0"/>
                <w:szCs w:val="21"/>
                <w:lang w:val="en-US" w:eastAsia="zh-CN"/>
              </w:rPr>
              <w:t>Semester</w:t>
            </w:r>
          </w:p>
        </w:tc>
        <w:tc>
          <w:tcPr>
            <w:tcW w:w="1153" w:type="dxa"/>
            <w:noWrap w:val="0"/>
            <w:vAlign w:val="center"/>
          </w:tcPr>
          <w:p>
            <w:pPr>
              <w:widowControl/>
              <w:snapToGrid w:val="0"/>
              <w:jc w:val="center"/>
              <w:rPr>
                <w:b/>
                <w:bCs/>
                <w:kern w:val="0"/>
                <w:szCs w:val="21"/>
              </w:rPr>
            </w:pPr>
            <w:r>
              <w:rPr>
                <w:b/>
                <w:bCs/>
                <w:kern w:val="0"/>
                <w:szCs w:val="21"/>
              </w:rPr>
              <w:t>授课/组织单位</w:t>
            </w:r>
          </w:p>
          <w:p>
            <w:pPr>
              <w:widowControl/>
              <w:snapToGrid w:val="0"/>
              <w:jc w:val="center"/>
              <w:rPr>
                <w:rFonts w:hint="default" w:eastAsia="宋体"/>
                <w:b/>
                <w:bCs/>
                <w:kern w:val="0"/>
                <w:szCs w:val="21"/>
                <w:lang w:val="en-US" w:eastAsia="zh-CN"/>
              </w:rPr>
            </w:pPr>
            <w:r>
              <w:rPr>
                <w:rFonts w:hint="eastAsia"/>
                <w:b/>
                <w:bCs/>
                <w:kern w:val="0"/>
                <w:szCs w:val="21"/>
                <w:lang w:val="en-US" w:eastAsia="zh-CN"/>
              </w:rPr>
              <w:t>Organizer</w:t>
            </w:r>
          </w:p>
        </w:tc>
        <w:tc>
          <w:tcPr>
            <w:tcW w:w="1119" w:type="dxa"/>
            <w:noWrap w:val="0"/>
            <w:vAlign w:val="center"/>
          </w:tcPr>
          <w:p>
            <w:pPr>
              <w:widowControl/>
              <w:snapToGrid w:val="0"/>
              <w:jc w:val="center"/>
              <w:rPr>
                <w:b/>
                <w:bCs/>
                <w:kern w:val="0"/>
                <w:szCs w:val="21"/>
              </w:rPr>
            </w:pPr>
            <w:r>
              <w:rPr>
                <w:b/>
                <w:bCs/>
                <w:kern w:val="0"/>
                <w:szCs w:val="21"/>
              </w:rPr>
              <w:t>备注</w:t>
            </w:r>
          </w:p>
          <w:p>
            <w:pPr>
              <w:widowControl/>
              <w:snapToGrid w:val="0"/>
              <w:jc w:val="center"/>
              <w:rPr>
                <w:rFonts w:hint="default" w:eastAsia="宋体"/>
                <w:b/>
                <w:bCs/>
                <w:kern w:val="0"/>
                <w:szCs w:val="21"/>
                <w:lang w:val="en-US" w:eastAsia="zh-CN"/>
              </w:rPr>
            </w:pPr>
            <w:r>
              <w:rPr>
                <w:rFonts w:hint="eastAsia"/>
                <w:b/>
                <w:bCs/>
                <w:kern w:val="0"/>
                <w:szCs w:val="21"/>
                <w:lang w:val="en-US" w:eastAsia="zh-CN"/>
              </w:rPr>
              <w:t>Memo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1323" w:type="dxa"/>
            <w:noWrap/>
            <w:vAlign w:val="center"/>
          </w:tcPr>
          <w:p>
            <w:pPr>
              <w:widowControl/>
              <w:snapToGrid w:val="0"/>
              <w:jc w:val="center"/>
              <w:rPr>
                <w:kern w:val="0"/>
                <w:szCs w:val="21"/>
              </w:rPr>
            </w:pPr>
            <w:r>
              <w:rPr>
                <w:kern w:val="0"/>
                <w:szCs w:val="21"/>
              </w:rPr>
              <w:t>学术活动</w:t>
            </w:r>
          </w:p>
          <w:p>
            <w:pPr>
              <w:widowControl/>
              <w:snapToGrid w:val="0"/>
              <w:jc w:val="center"/>
              <w:rPr>
                <w:rFonts w:hint="default" w:eastAsia="宋体"/>
                <w:kern w:val="0"/>
                <w:szCs w:val="21"/>
                <w:lang w:val="en-US" w:eastAsia="zh-CN"/>
              </w:rPr>
            </w:pPr>
            <w:r>
              <w:rPr>
                <w:rFonts w:hint="eastAsia"/>
                <w:kern w:val="0"/>
                <w:szCs w:val="21"/>
                <w:lang w:val="en-US" w:eastAsia="zh-CN"/>
              </w:rPr>
              <w:t xml:space="preserve">Academic Activity </w:t>
            </w:r>
          </w:p>
        </w:tc>
        <w:tc>
          <w:tcPr>
            <w:tcW w:w="910" w:type="dxa"/>
            <w:noWrap w:val="0"/>
            <w:vAlign w:val="center"/>
          </w:tcPr>
          <w:p>
            <w:pPr>
              <w:snapToGrid w:val="0"/>
              <w:jc w:val="center"/>
              <w:rPr>
                <w:sz w:val="22"/>
                <w:szCs w:val="22"/>
              </w:rPr>
            </w:pPr>
            <w:r>
              <w:rPr>
                <w:rFonts w:hint="eastAsia" w:ascii="宋体" w:hAnsi="宋体" w:cs="宋体"/>
                <w:kern w:val="0"/>
                <w:sz w:val="20"/>
                <w:szCs w:val="20"/>
              </w:rPr>
              <w:t>yh202209002</w:t>
            </w:r>
          </w:p>
        </w:tc>
        <w:tc>
          <w:tcPr>
            <w:tcW w:w="1232" w:type="dxa"/>
            <w:noWrap w:val="0"/>
            <w:vAlign w:val="center"/>
          </w:tcPr>
          <w:p>
            <w:pPr>
              <w:snapToGrid w:val="0"/>
              <w:jc w:val="center"/>
              <w:rPr>
                <w:szCs w:val="21"/>
              </w:rPr>
            </w:pPr>
            <w:r>
              <w:rPr>
                <w:szCs w:val="21"/>
              </w:rPr>
              <w:t>学术报告与讲座</w:t>
            </w:r>
          </w:p>
          <w:p>
            <w:pPr>
              <w:snapToGrid w:val="0"/>
              <w:jc w:val="center"/>
              <w:rPr>
                <w:szCs w:val="21"/>
              </w:rPr>
            </w:pPr>
            <w:r>
              <w:rPr>
                <w:rFonts w:hint="eastAsia"/>
                <w:szCs w:val="21"/>
              </w:rPr>
              <w:t>Academic Reports and Lectures</w:t>
            </w:r>
          </w:p>
        </w:tc>
        <w:tc>
          <w:tcPr>
            <w:tcW w:w="728" w:type="dxa"/>
            <w:noWrap/>
            <w:vAlign w:val="center"/>
          </w:tcPr>
          <w:p>
            <w:pPr>
              <w:widowControl/>
              <w:snapToGrid w:val="0"/>
              <w:jc w:val="center"/>
              <w:rPr>
                <w:kern w:val="0"/>
                <w:szCs w:val="21"/>
              </w:rPr>
            </w:pPr>
            <w:r>
              <w:rPr>
                <w:kern w:val="0"/>
                <w:szCs w:val="21"/>
              </w:rPr>
              <w:t>1</w:t>
            </w:r>
          </w:p>
        </w:tc>
        <w:tc>
          <w:tcPr>
            <w:tcW w:w="1411" w:type="dxa"/>
            <w:noWrap w:val="0"/>
            <w:vAlign w:val="center"/>
          </w:tcPr>
          <w:p>
            <w:pPr>
              <w:widowControl/>
              <w:snapToGrid w:val="0"/>
              <w:jc w:val="center"/>
              <w:rPr>
                <w:rFonts w:hint="eastAsia"/>
                <w:kern w:val="0"/>
                <w:szCs w:val="21"/>
              </w:rPr>
            </w:pPr>
            <w:r>
              <w:rPr>
                <w:kern w:val="0"/>
                <w:szCs w:val="21"/>
              </w:rPr>
              <w:t>授课及考核方式见备注</w:t>
            </w:r>
            <w:r>
              <w:rPr>
                <w:rFonts w:hint="eastAsia"/>
                <w:kern w:val="0"/>
                <w:szCs w:val="21"/>
              </w:rPr>
              <w:t>1</w:t>
            </w:r>
          </w:p>
          <w:p>
            <w:pPr>
              <w:widowControl/>
              <w:snapToGrid w:val="0"/>
              <w:jc w:val="center"/>
              <w:rPr>
                <w:rFonts w:hint="default" w:eastAsia="宋体"/>
                <w:kern w:val="0"/>
                <w:szCs w:val="21"/>
                <w:lang w:val="en-US" w:eastAsia="zh-CN"/>
              </w:rPr>
            </w:pPr>
            <w:r>
              <w:rPr>
                <w:rFonts w:hint="eastAsia"/>
                <w:kern w:val="0"/>
                <w:szCs w:val="21"/>
                <w:lang w:val="en-US" w:eastAsia="zh-CN"/>
              </w:rPr>
              <w:t>See Memo 1</w:t>
            </w:r>
          </w:p>
        </w:tc>
        <w:tc>
          <w:tcPr>
            <w:tcW w:w="1114" w:type="dxa"/>
            <w:noWrap/>
            <w:vAlign w:val="center"/>
          </w:tcPr>
          <w:p>
            <w:pPr>
              <w:widowControl/>
              <w:snapToGrid w:val="0"/>
              <w:jc w:val="center"/>
              <w:rPr>
                <w:kern w:val="0"/>
                <w:szCs w:val="21"/>
              </w:rPr>
            </w:pPr>
            <w:r>
              <w:rPr>
                <w:kern w:val="0"/>
                <w:szCs w:val="21"/>
              </w:rPr>
              <w:t>1-6学期</w:t>
            </w:r>
          </w:p>
          <w:p>
            <w:pPr>
              <w:widowControl/>
              <w:snapToGrid w:val="0"/>
              <w:jc w:val="center"/>
              <w:rPr>
                <w:rFonts w:hint="default" w:eastAsia="宋体"/>
                <w:kern w:val="0"/>
                <w:szCs w:val="21"/>
                <w:lang w:val="en-US" w:eastAsia="zh-CN"/>
              </w:rPr>
            </w:pPr>
            <w:r>
              <w:rPr>
                <w:rFonts w:hint="eastAsia"/>
                <w:kern w:val="0"/>
                <w:szCs w:val="21"/>
                <w:lang w:val="en-US" w:eastAsia="zh-CN"/>
              </w:rPr>
              <w:t>Semester 1 to 6</w:t>
            </w:r>
          </w:p>
        </w:tc>
        <w:tc>
          <w:tcPr>
            <w:tcW w:w="1153" w:type="dxa"/>
            <w:vMerge w:val="restart"/>
            <w:noWrap w:val="0"/>
            <w:vAlign w:val="center"/>
          </w:tcPr>
          <w:p>
            <w:pPr>
              <w:widowControl/>
              <w:snapToGrid w:val="0"/>
              <w:rPr>
                <w:kern w:val="0"/>
                <w:szCs w:val="21"/>
              </w:rPr>
            </w:pPr>
            <w:r>
              <w:rPr>
                <w:kern w:val="0"/>
                <w:szCs w:val="21"/>
              </w:rPr>
              <w:t>软件学院</w:t>
            </w:r>
          </w:p>
          <w:p>
            <w:pPr>
              <w:widowControl/>
              <w:snapToGrid w:val="0"/>
              <w:rPr>
                <w:rFonts w:hint="default" w:eastAsia="宋体"/>
                <w:kern w:val="0"/>
                <w:szCs w:val="21"/>
                <w:lang w:val="en-US" w:eastAsia="zh-CN"/>
              </w:rPr>
            </w:pPr>
            <w:r>
              <w:rPr>
                <w:rFonts w:hint="eastAsia"/>
                <w:kern w:val="0"/>
                <w:szCs w:val="21"/>
                <w:lang w:val="en-US" w:eastAsia="zh-CN"/>
              </w:rPr>
              <w:t>Software College</w:t>
            </w:r>
          </w:p>
        </w:tc>
        <w:tc>
          <w:tcPr>
            <w:tcW w:w="1119" w:type="dxa"/>
            <w:vMerge w:val="restart"/>
            <w:noWrap w:val="0"/>
            <w:vAlign w:val="center"/>
          </w:tcPr>
          <w:p>
            <w:pPr>
              <w:widowControl/>
              <w:snapToGrid w:val="0"/>
              <w:rPr>
                <w:kern w:val="0"/>
                <w:szCs w:val="21"/>
              </w:rPr>
            </w:pPr>
            <w:r>
              <w:rPr>
                <w:kern w:val="0"/>
                <w:szCs w:val="21"/>
              </w:rPr>
              <w:t>必修环节学分不计入课程学分</w:t>
            </w:r>
          </w:p>
          <w:p>
            <w:pPr>
              <w:widowControl/>
              <w:snapToGrid w:val="0"/>
              <w:rPr>
                <w:rFonts w:hint="default" w:eastAsia="宋体"/>
                <w:kern w:val="0"/>
                <w:szCs w:val="21"/>
                <w:lang w:val="en-US" w:eastAsia="zh-CN"/>
              </w:rPr>
            </w:pPr>
            <w:r>
              <w:rPr>
                <w:rFonts w:hint="eastAsia"/>
                <w:kern w:val="0"/>
                <w:szCs w:val="21"/>
                <w:lang w:val="en-US" w:eastAsia="zh-CN"/>
              </w:rPr>
              <w:t>Credits are not included in course credits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1323" w:type="dxa"/>
            <w:noWrap/>
            <w:vAlign w:val="center"/>
          </w:tcPr>
          <w:p>
            <w:pPr>
              <w:widowControl/>
              <w:snapToGrid w:val="0"/>
              <w:jc w:val="center"/>
              <w:rPr>
                <w:kern w:val="0"/>
                <w:szCs w:val="21"/>
              </w:rPr>
            </w:pPr>
            <w:r>
              <w:rPr>
                <w:kern w:val="0"/>
                <w:szCs w:val="21"/>
              </w:rPr>
              <w:t>专业实践</w:t>
            </w:r>
          </w:p>
          <w:p>
            <w:pPr>
              <w:widowControl/>
              <w:snapToGrid w:val="0"/>
              <w:jc w:val="center"/>
              <w:rPr>
                <w:rFonts w:hint="default" w:eastAsia="宋体"/>
                <w:kern w:val="0"/>
                <w:szCs w:val="21"/>
                <w:lang w:val="en-US" w:eastAsia="zh-CN"/>
              </w:rPr>
            </w:pPr>
            <w:r>
              <w:rPr>
                <w:rFonts w:hint="eastAsia"/>
                <w:kern w:val="0"/>
                <w:szCs w:val="21"/>
                <w:lang w:val="en-US" w:eastAsia="zh-CN"/>
              </w:rPr>
              <w:t>Practice</w:t>
            </w:r>
          </w:p>
        </w:tc>
        <w:tc>
          <w:tcPr>
            <w:tcW w:w="910" w:type="dxa"/>
            <w:noWrap w:val="0"/>
            <w:vAlign w:val="center"/>
          </w:tcPr>
          <w:p>
            <w:pPr>
              <w:snapToGrid w:val="0"/>
              <w:jc w:val="center"/>
              <w:rPr>
                <w:sz w:val="22"/>
                <w:szCs w:val="22"/>
              </w:rPr>
            </w:pPr>
            <w:r>
              <w:rPr>
                <w:rFonts w:hint="eastAsia" w:ascii="宋体" w:hAnsi="宋体" w:cs="宋体"/>
                <w:kern w:val="0"/>
                <w:sz w:val="20"/>
                <w:szCs w:val="20"/>
              </w:rPr>
              <w:t>yh202209004</w:t>
            </w:r>
          </w:p>
        </w:tc>
        <w:tc>
          <w:tcPr>
            <w:tcW w:w="1232" w:type="dxa"/>
            <w:noWrap/>
            <w:vAlign w:val="center"/>
          </w:tcPr>
          <w:p>
            <w:pPr>
              <w:snapToGrid w:val="0"/>
              <w:jc w:val="center"/>
              <w:rPr>
                <w:szCs w:val="21"/>
              </w:rPr>
            </w:pPr>
            <w:r>
              <w:rPr>
                <w:szCs w:val="21"/>
              </w:rPr>
              <w:t>实践训练</w:t>
            </w:r>
            <w:r>
              <w:rPr>
                <w:rFonts w:hint="eastAsia"/>
                <w:kern w:val="0"/>
                <w:szCs w:val="21"/>
                <w:lang w:val="en-US" w:eastAsia="zh-CN"/>
              </w:rPr>
              <w:t>Practical traning</w:t>
            </w:r>
          </w:p>
        </w:tc>
        <w:tc>
          <w:tcPr>
            <w:tcW w:w="728" w:type="dxa"/>
            <w:noWrap/>
            <w:vAlign w:val="center"/>
          </w:tcPr>
          <w:p>
            <w:pPr>
              <w:widowControl/>
              <w:snapToGrid w:val="0"/>
              <w:jc w:val="center"/>
              <w:rPr>
                <w:kern w:val="0"/>
                <w:szCs w:val="21"/>
              </w:rPr>
            </w:pPr>
            <w:r>
              <w:rPr>
                <w:kern w:val="0"/>
                <w:szCs w:val="21"/>
              </w:rPr>
              <w:t>8</w:t>
            </w:r>
          </w:p>
        </w:tc>
        <w:tc>
          <w:tcPr>
            <w:tcW w:w="1411" w:type="dxa"/>
            <w:noWrap w:val="0"/>
            <w:vAlign w:val="center"/>
          </w:tcPr>
          <w:p>
            <w:pPr>
              <w:widowControl/>
              <w:snapToGrid w:val="0"/>
              <w:jc w:val="center"/>
              <w:rPr>
                <w:rFonts w:hint="eastAsia"/>
                <w:kern w:val="0"/>
                <w:szCs w:val="21"/>
              </w:rPr>
            </w:pPr>
            <w:r>
              <w:rPr>
                <w:kern w:val="0"/>
                <w:szCs w:val="21"/>
              </w:rPr>
              <w:t>授课及考核方式见备注</w:t>
            </w:r>
            <w:r>
              <w:rPr>
                <w:rFonts w:hint="eastAsia"/>
                <w:kern w:val="0"/>
                <w:szCs w:val="21"/>
              </w:rPr>
              <w:t>2</w:t>
            </w:r>
          </w:p>
          <w:p>
            <w:pPr>
              <w:widowControl/>
              <w:snapToGrid w:val="0"/>
              <w:jc w:val="center"/>
              <w:rPr>
                <w:rFonts w:hint="default"/>
                <w:kern w:val="0"/>
                <w:szCs w:val="21"/>
                <w:lang w:val="en-US"/>
              </w:rPr>
            </w:pPr>
            <w:r>
              <w:rPr>
                <w:rFonts w:hint="eastAsia"/>
                <w:kern w:val="0"/>
                <w:szCs w:val="21"/>
                <w:lang w:val="en-US" w:eastAsia="zh-CN"/>
              </w:rPr>
              <w:t>See Memo 2</w:t>
            </w:r>
          </w:p>
        </w:tc>
        <w:tc>
          <w:tcPr>
            <w:tcW w:w="1114" w:type="dxa"/>
            <w:noWrap/>
            <w:vAlign w:val="center"/>
          </w:tcPr>
          <w:p>
            <w:pPr>
              <w:widowControl/>
              <w:snapToGrid w:val="0"/>
              <w:jc w:val="center"/>
              <w:rPr>
                <w:kern w:val="0"/>
                <w:szCs w:val="21"/>
              </w:rPr>
            </w:pPr>
            <w:r>
              <w:rPr>
                <w:rFonts w:hint="eastAsia"/>
                <w:kern w:val="0"/>
                <w:szCs w:val="21"/>
              </w:rPr>
              <w:t>3</w:t>
            </w:r>
            <w:r>
              <w:rPr>
                <w:kern w:val="0"/>
                <w:szCs w:val="21"/>
              </w:rPr>
              <w:t>-</w:t>
            </w:r>
            <w:r>
              <w:rPr>
                <w:rFonts w:hint="eastAsia"/>
                <w:kern w:val="0"/>
                <w:szCs w:val="21"/>
              </w:rPr>
              <w:t>5</w:t>
            </w:r>
            <w:r>
              <w:rPr>
                <w:kern w:val="0"/>
                <w:szCs w:val="21"/>
              </w:rPr>
              <w:t>学期</w:t>
            </w:r>
          </w:p>
          <w:p>
            <w:pPr>
              <w:widowControl/>
              <w:snapToGrid w:val="0"/>
              <w:jc w:val="center"/>
              <w:rPr>
                <w:rFonts w:hint="default"/>
                <w:kern w:val="0"/>
                <w:szCs w:val="21"/>
                <w:lang w:val="en-US"/>
              </w:rPr>
            </w:pPr>
            <w:r>
              <w:rPr>
                <w:rFonts w:hint="eastAsia"/>
                <w:kern w:val="0"/>
                <w:szCs w:val="21"/>
                <w:lang w:val="en-US" w:eastAsia="zh-CN"/>
              </w:rPr>
              <w:t>Semester 3 to 5</w:t>
            </w:r>
          </w:p>
        </w:tc>
        <w:tc>
          <w:tcPr>
            <w:tcW w:w="1153" w:type="dxa"/>
            <w:vMerge w:val="continue"/>
            <w:noWrap w:val="0"/>
            <w:vAlign w:val="center"/>
          </w:tcPr>
          <w:p>
            <w:pPr>
              <w:widowControl/>
              <w:snapToGrid w:val="0"/>
              <w:ind w:firstLine="440" w:firstLineChars="200"/>
              <w:jc w:val="center"/>
              <w:rPr>
                <w:kern w:val="0"/>
                <w:sz w:val="22"/>
                <w:szCs w:val="22"/>
              </w:rPr>
            </w:pPr>
          </w:p>
        </w:tc>
        <w:tc>
          <w:tcPr>
            <w:tcW w:w="1119" w:type="dxa"/>
            <w:vMerge w:val="continue"/>
            <w:noWrap w:val="0"/>
            <w:vAlign w:val="center"/>
          </w:tcPr>
          <w:p>
            <w:pPr>
              <w:widowControl/>
              <w:snapToGrid w:val="0"/>
              <w:ind w:firstLine="480" w:firstLineChars="200"/>
              <w:jc w:val="center"/>
              <w:rPr>
                <w:kern w:val="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1323" w:type="dxa"/>
            <w:noWrap/>
            <w:vAlign w:val="center"/>
          </w:tcPr>
          <w:p>
            <w:pPr>
              <w:widowControl/>
              <w:snapToGrid w:val="0"/>
              <w:jc w:val="center"/>
              <w:rPr>
                <w:kern w:val="0"/>
                <w:szCs w:val="21"/>
              </w:rPr>
            </w:pPr>
            <w:r>
              <w:rPr>
                <w:rFonts w:hint="eastAsia"/>
                <w:kern w:val="0"/>
                <w:szCs w:val="21"/>
              </w:rPr>
              <w:t>科学精神与文化素养教育</w:t>
            </w:r>
            <w:r>
              <w:rPr>
                <w:rFonts w:hint="eastAsia"/>
                <w:kern w:val="0"/>
                <w:szCs w:val="21"/>
                <w:lang w:val="en-US" w:eastAsia="zh-CN"/>
              </w:rPr>
              <w:t>Scientific Spirit and Cultural Accomplishment Education</w:t>
            </w:r>
          </w:p>
        </w:tc>
        <w:tc>
          <w:tcPr>
            <w:tcW w:w="910" w:type="dxa"/>
            <w:noWrap w:val="0"/>
            <w:vAlign w:val="center"/>
          </w:tcPr>
          <w:p>
            <w:pPr>
              <w:widowControl/>
              <w:jc w:val="center"/>
              <w:rPr>
                <w:sz w:val="22"/>
                <w:szCs w:val="22"/>
              </w:rPr>
            </w:pPr>
            <w:r>
              <w:rPr>
                <w:rFonts w:hint="eastAsia" w:ascii="宋体" w:hAnsi="宋体" w:cs="宋体"/>
                <w:kern w:val="0"/>
                <w:sz w:val="20"/>
                <w:szCs w:val="20"/>
              </w:rPr>
              <w:t>yh202209001</w:t>
            </w:r>
          </w:p>
        </w:tc>
        <w:tc>
          <w:tcPr>
            <w:tcW w:w="1232" w:type="dxa"/>
            <w:noWrap/>
            <w:vAlign w:val="center"/>
          </w:tcPr>
          <w:p>
            <w:pPr>
              <w:widowControl/>
              <w:snapToGrid w:val="0"/>
              <w:jc w:val="center"/>
              <w:rPr>
                <w:rFonts w:hint="eastAsia"/>
                <w:kern w:val="0"/>
                <w:szCs w:val="21"/>
              </w:rPr>
            </w:pPr>
            <w:r>
              <w:rPr>
                <w:rFonts w:hint="eastAsia"/>
                <w:kern w:val="0"/>
                <w:szCs w:val="21"/>
              </w:rPr>
              <w:t>课外活动</w:t>
            </w:r>
          </w:p>
          <w:p>
            <w:pPr>
              <w:widowControl/>
              <w:snapToGrid w:val="0"/>
              <w:jc w:val="center"/>
              <w:rPr>
                <w:rFonts w:hint="eastAsia"/>
                <w:kern w:val="0"/>
                <w:szCs w:val="21"/>
              </w:rPr>
            </w:pPr>
            <w:r>
              <w:rPr>
                <w:rFonts w:hint="eastAsia"/>
                <w:kern w:val="0"/>
                <w:szCs w:val="21"/>
              </w:rPr>
              <w:t>Extracurricular activities</w:t>
            </w:r>
          </w:p>
        </w:tc>
        <w:tc>
          <w:tcPr>
            <w:tcW w:w="728" w:type="dxa"/>
            <w:noWrap/>
            <w:vAlign w:val="center"/>
          </w:tcPr>
          <w:p>
            <w:pPr>
              <w:widowControl/>
              <w:snapToGrid w:val="0"/>
              <w:jc w:val="center"/>
              <w:rPr>
                <w:rFonts w:hint="eastAsia"/>
                <w:kern w:val="0"/>
                <w:szCs w:val="21"/>
              </w:rPr>
            </w:pPr>
            <w:r>
              <w:rPr>
                <w:rFonts w:hint="eastAsia"/>
                <w:kern w:val="0"/>
                <w:szCs w:val="21"/>
              </w:rPr>
              <w:t>1</w:t>
            </w:r>
          </w:p>
        </w:tc>
        <w:tc>
          <w:tcPr>
            <w:tcW w:w="1411" w:type="dxa"/>
            <w:noWrap w:val="0"/>
            <w:vAlign w:val="center"/>
          </w:tcPr>
          <w:p>
            <w:pPr>
              <w:widowControl/>
              <w:snapToGrid w:val="0"/>
              <w:jc w:val="center"/>
              <w:rPr>
                <w:rFonts w:hint="eastAsia"/>
                <w:kern w:val="0"/>
                <w:szCs w:val="21"/>
              </w:rPr>
            </w:pPr>
            <w:r>
              <w:rPr>
                <w:kern w:val="0"/>
                <w:szCs w:val="21"/>
              </w:rPr>
              <w:t>授课及考核方式见备注</w:t>
            </w:r>
            <w:r>
              <w:rPr>
                <w:rFonts w:hint="eastAsia"/>
                <w:kern w:val="0"/>
                <w:szCs w:val="21"/>
              </w:rPr>
              <w:t>3</w:t>
            </w:r>
          </w:p>
          <w:p>
            <w:pPr>
              <w:widowControl/>
              <w:snapToGrid w:val="0"/>
              <w:jc w:val="center"/>
              <w:rPr>
                <w:rFonts w:hint="default"/>
                <w:kern w:val="0"/>
                <w:szCs w:val="21"/>
                <w:lang w:val="en-US"/>
              </w:rPr>
            </w:pPr>
            <w:r>
              <w:rPr>
                <w:rFonts w:hint="eastAsia"/>
                <w:kern w:val="0"/>
                <w:szCs w:val="21"/>
                <w:lang w:val="en-US" w:eastAsia="zh-CN"/>
              </w:rPr>
              <w:t>See Memo 3</w:t>
            </w:r>
          </w:p>
        </w:tc>
        <w:tc>
          <w:tcPr>
            <w:tcW w:w="1114" w:type="dxa"/>
            <w:noWrap/>
            <w:vAlign w:val="center"/>
          </w:tcPr>
          <w:p>
            <w:pPr>
              <w:widowControl/>
              <w:snapToGrid w:val="0"/>
              <w:jc w:val="center"/>
              <w:rPr>
                <w:kern w:val="0"/>
                <w:szCs w:val="21"/>
              </w:rPr>
            </w:pPr>
            <w:r>
              <w:rPr>
                <w:kern w:val="0"/>
                <w:szCs w:val="21"/>
              </w:rPr>
              <w:t>1-6学期</w:t>
            </w:r>
          </w:p>
          <w:p>
            <w:pPr>
              <w:widowControl/>
              <w:snapToGrid w:val="0"/>
              <w:jc w:val="center"/>
              <w:rPr>
                <w:rFonts w:hint="default"/>
                <w:kern w:val="0"/>
                <w:szCs w:val="21"/>
                <w:lang w:val="en-US"/>
              </w:rPr>
            </w:pPr>
            <w:r>
              <w:rPr>
                <w:rFonts w:hint="eastAsia"/>
                <w:kern w:val="0"/>
                <w:szCs w:val="21"/>
                <w:lang w:val="en-US" w:eastAsia="zh-CN"/>
              </w:rPr>
              <w:t>Semester 1 to 6</w:t>
            </w:r>
          </w:p>
        </w:tc>
        <w:tc>
          <w:tcPr>
            <w:tcW w:w="1153" w:type="dxa"/>
            <w:vMerge w:val="continue"/>
            <w:noWrap w:val="0"/>
            <w:vAlign w:val="center"/>
          </w:tcPr>
          <w:p>
            <w:pPr>
              <w:widowControl/>
              <w:snapToGrid w:val="0"/>
              <w:ind w:firstLine="440" w:firstLineChars="200"/>
              <w:jc w:val="center"/>
              <w:rPr>
                <w:kern w:val="0"/>
                <w:sz w:val="22"/>
                <w:szCs w:val="22"/>
              </w:rPr>
            </w:pPr>
          </w:p>
        </w:tc>
        <w:tc>
          <w:tcPr>
            <w:tcW w:w="1119" w:type="dxa"/>
            <w:vMerge w:val="continue"/>
            <w:noWrap w:val="0"/>
            <w:vAlign w:val="center"/>
          </w:tcPr>
          <w:p>
            <w:pPr>
              <w:widowControl/>
              <w:snapToGrid w:val="0"/>
              <w:ind w:firstLine="480" w:firstLineChars="200"/>
              <w:jc w:val="center"/>
              <w:rPr>
                <w:kern w:val="0"/>
                <w:sz w:val="24"/>
                <w:szCs w:val="21"/>
              </w:rPr>
            </w:pPr>
          </w:p>
        </w:tc>
      </w:tr>
    </w:tbl>
    <w:p>
      <w:pPr>
        <w:spacing w:line="360" w:lineRule="auto"/>
        <w:ind w:firstLine="480" w:firstLineChars="200"/>
        <w:rPr>
          <w:sz w:val="24"/>
          <w:szCs w:val="22"/>
        </w:rPr>
      </w:pPr>
    </w:p>
    <w:p>
      <w:pPr>
        <w:spacing w:line="360" w:lineRule="auto"/>
        <w:ind w:firstLine="480" w:firstLineChars="200"/>
        <w:rPr>
          <w:sz w:val="24"/>
          <w:szCs w:val="22"/>
        </w:rPr>
      </w:pPr>
      <w:r>
        <w:rPr>
          <w:sz w:val="24"/>
          <w:szCs w:val="22"/>
        </w:rPr>
        <w:t>备注</w:t>
      </w:r>
      <w:r>
        <w:rPr>
          <w:rFonts w:hint="eastAsia"/>
          <w:sz w:val="24"/>
          <w:szCs w:val="22"/>
        </w:rPr>
        <w:t>1</w:t>
      </w:r>
      <w:r>
        <w:rPr>
          <w:sz w:val="24"/>
          <w:szCs w:val="22"/>
        </w:rPr>
        <w:t>：“学术活动”环节通过“学术报告与讲座”的形式实现。该课程1学分，要求在申请答辩前完成。学术活动折算学时标准：听取学院组织或认可的专题学术报告：4学时/次；参加国际学术会议并做学术报告：16学时/次；国内学术会议上做学术报告：8学时/次。研究生按要求填写表格，导师签字，主管院长审核，要求本课程至少获得16学时。</w:t>
      </w:r>
    </w:p>
    <w:p>
      <w:pPr>
        <w:spacing w:line="360" w:lineRule="auto"/>
        <w:ind w:firstLine="480" w:firstLineChars="200"/>
        <w:rPr>
          <w:rFonts w:hint="eastAsia"/>
          <w:sz w:val="24"/>
          <w:szCs w:val="22"/>
          <w:lang w:val="en-US" w:eastAsia="zh-CN"/>
        </w:rPr>
      </w:pPr>
      <w:r>
        <w:rPr>
          <w:rFonts w:hint="eastAsia"/>
          <w:sz w:val="24"/>
          <w:szCs w:val="22"/>
          <w:lang w:val="en-US" w:eastAsia="zh-CN"/>
        </w:rPr>
        <w:t>Memo 1: "Academic activities" is realized in the form of "academic reports and lectures". This course is 1 credit, which is required to be completed before applying for defense. Standard for converting academic activities into hours: listening to special academic reports organized or recognized by the college: 4 hours/time; Attend international academic conferences and give academic reports: 16 hours/time; Give academic reports at domestic academic conferences: 8 hours/time. Graduate students fill in the form as required, sign by the tutor and review by the dean in charge, and require the course to get at least 16 hours.</w:t>
      </w:r>
    </w:p>
    <w:p>
      <w:pPr>
        <w:spacing w:line="360" w:lineRule="auto"/>
        <w:ind w:firstLine="480" w:firstLineChars="200"/>
        <w:rPr>
          <w:sz w:val="24"/>
          <w:szCs w:val="22"/>
        </w:rPr>
      </w:pPr>
      <w:r>
        <w:rPr>
          <w:sz w:val="24"/>
          <w:szCs w:val="22"/>
        </w:rPr>
        <w:t>备注</w:t>
      </w:r>
      <w:r>
        <w:rPr>
          <w:rFonts w:hint="eastAsia"/>
          <w:sz w:val="24"/>
          <w:szCs w:val="22"/>
        </w:rPr>
        <w:t>2</w:t>
      </w:r>
      <w:r>
        <w:rPr>
          <w:sz w:val="24"/>
          <w:szCs w:val="22"/>
        </w:rPr>
        <w:t>：“专业实践”环节通过“实践训练”的形式实现。该课程8学分。学院对硕士生专业实践进行全过程的管理，以确保实践教学质量，具体要求如下：</w:t>
      </w:r>
    </w:p>
    <w:p>
      <w:pPr>
        <w:spacing w:line="360" w:lineRule="auto"/>
        <w:ind w:firstLine="480" w:firstLineChars="200"/>
        <w:rPr>
          <w:sz w:val="24"/>
          <w:szCs w:val="22"/>
        </w:rPr>
      </w:pPr>
      <w:r>
        <w:rPr>
          <w:rFonts w:hint="eastAsia"/>
          <w:sz w:val="24"/>
          <w:szCs w:val="22"/>
        </w:rPr>
        <w:t>"Professional practice" is realized in the form of "practical training". This course has 8 credits. The college manages the whole process of master's professional practice to ensure the quality of practical teaching. The specific requirements are as follows:</w:t>
      </w:r>
    </w:p>
    <w:p>
      <w:pPr>
        <w:spacing w:line="360" w:lineRule="auto"/>
        <w:ind w:firstLine="480" w:firstLineChars="200"/>
        <w:rPr>
          <w:rFonts w:hint="eastAsia"/>
          <w:sz w:val="24"/>
          <w:szCs w:val="22"/>
          <w:lang w:eastAsia="zh-CN"/>
        </w:rPr>
      </w:pPr>
      <w:r>
        <w:rPr>
          <w:rFonts w:hint="eastAsia"/>
          <w:sz w:val="24"/>
          <w:szCs w:val="22"/>
          <w:lang w:val="en-US" w:eastAsia="zh-CN"/>
        </w:rPr>
        <w:t>专业实践由学院统一组织，</w:t>
      </w:r>
      <w:r>
        <w:rPr>
          <w:sz w:val="24"/>
          <w:szCs w:val="22"/>
        </w:rPr>
        <w:t>于第3学期</w:t>
      </w:r>
      <w:r>
        <w:rPr>
          <w:rFonts w:hint="eastAsia"/>
          <w:sz w:val="24"/>
          <w:szCs w:val="22"/>
          <w:lang w:val="en-US" w:eastAsia="zh-CN"/>
        </w:rPr>
        <w:t>开展。在实践结束后由学院组织验收，并收取</w:t>
      </w:r>
      <w:r>
        <w:rPr>
          <w:sz w:val="24"/>
          <w:szCs w:val="22"/>
        </w:rPr>
        <w:t>《全日制硕士专业学位研究生专业实践计划表》</w:t>
      </w:r>
      <w:r>
        <w:rPr>
          <w:rFonts w:hint="eastAsia"/>
          <w:sz w:val="24"/>
          <w:szCs w:val="22"/>
          <w:lang w:eastAsia="zh-CN"/>
        </w:rPr>
        <w:t>、</w:t>
      </w:r>
      <w:r>
        <w:rPr>
          <w:sz w:val="24"/>
          <w:szCs w:val="22"/>
        </w:rPr>
        <w:t>专业实践报告</w:t>
      </w:r>
      <w:r>
        <w:rPr>
          <w:rFonts w:hint="eastAsia"/>
          <w:sz w:val="24"/>
          <w:szCs w:val="22"/>
          <w:lang w:eastAsia="zh-CN"/>
        </w:rPr>
        <w:t>。</w:t>
      </w:r>
    </w:p>
    <w:p>
      <w:pPr>
        <w:spacing w:line="360" w:lineRule="auto"/>
        <w:ind w:firstLine="480" w:firstLineChars="200"/>
        <w:rPr>
          <w:rFonts w:hint="default"/>
          <w:sz w:val="24"/>
          <w:szCs w:val="22"/>
          <w:lang w:val="en-US" w:eastAsia="zh-CN"/>
        </w:rPr>
      </w:pPr>
      <w:r>
        <w:rPr>
          <w:rFonts w:hint="eastAsia"/>
          <w:sz w:val="24"/>
          <w:szCs w:val="22"/>
          <w:lang w:val="en-US" w:eastAsia="zh-CN"/>
        </w:rPr>
        <w:t>It will be organized by the college and given in the 3</w:t>
      </w:r>
      <w:r>
        <w:rPr>
          <w:rFonts w:hint="eastAsia"/>
          <w:sz w:val="24"/>
          <w:szCs w:val="22"/>
          <w:vertAlign w:val="superscript"/>
          <w:lang w:val="en-US" w:eastAsia="zh-CN"/>
        </w:rPr>
        <w:t>rd</w:t>
      </w:r>
      <w:r>
        <w:rPr>
          <w:rFonts w:hint="eastAsia"/>
          <w:sz w:val="24"/>
          <w:szCs w:val="22"/>
          <w:lang w:val="en-US" w:eastAsia="zh-CN"/>
        </w:rPr>
        <w:t xml:space="preserve"> semester. After the professional practice, it will be marked by the college through defence. Practical assessment table and practical report will be submitted after the training.</w:t>
      </w:r>
    </w:p>
    <w:p>
      <w:pPr>
        <w:spacing w:line="360" w:lineRule="auto"/>
        <w:ind w:firstLine="480" w:firstLineChars="200"/>
        <w:rPr>
          <w:sz w:val="24"/>
          <w:szCs w:val="22"/>
        </w:rPr>
      </w:pPr>
      <w:r>
        <w:rPr>
          <w:rFonts w:hint="eastAsia"/>
          <w:sz w:val="24"/>
          <w:szCs w:val="22"/>
        </w:rPr>
        <w:t>备注3：“科学精神与文化素养教育”主要包括科学道德、体育与艺术素养、劳动等方面内容，通过“课外活动”形式体现。</w:t>
      </w:r>
      <w:r>
        <w:rPr>
          <w:sz w:val="24"/>
          <w:szCs w:val="22"/>
        </w:rPr>
        <w:t>该课程1学分，要求在申请答辩前完成。</w:t>
      </w:r>
      <w:r>
        <w:rPr>
          <w:rFonts w:hint="eastAsia"/>
          <w:sz w:val="24"/>
          <w:szCs w:val="22"/>
        </w:rPr>
        <w:t>课外</w:t>
      </w:r>
      <w:r>
        <w:rPr>
          <w:sz w:val="24"/>
          <w:szCs w:val="22"/>
        </w:rPr>
        <w:t>活动折算学时标准：</w:t>
      </w:r>
      <w:r>
        <w:rPr>
          <w:rFonts w:hint="eastAsia"/>
          <w:sz w:val="24"/>
          <w:szCs w:val="22"/>
        </w:rPr>
        <w:t>参加</w:t>
      </w:r>
      <w:r>
        <w:rPr>
          <w:sz w:val="24"/>
          <w:szCs w:val="22"/>
        </w:rPr>
        <w:t>学院组织或认可的</w:t>
      </w:r>
      <w:r>
        <w:rPr>
          <w:rFonts w:hint="eastAsia"/>
          <w:sz w:val="24"/>
          <w:szCs w:val="22"/>
        </w:rPr>
        <w:t>课外学生活动</w:t>
      </w:r>
      <w:r>
        <w:rPr>
          <w:sz w:val="24"/>
          <w:szCs w:val="22"/>
        </w:rPr>
        <w:t>：4学时/次。研究生按要求填写表格，</w:t>
      </w:r>
      <w:r>
        <w:rPr>
          <w:rFonts w:hint="eastAsia"/>
          <w:sz w:val="24"/>
          <w:szCs w:val="22"/>
        </w:rPr>
        <w:t>辅导员</w:t>
      </w:r>
      <w:r>
        <w:rPr>
          <w:sz w:val="24"/>
          <w:szCs w:val="22"/>
        </w:rPr>
        <w:t>签字，主管院长审核，要求本课程至少获得16学时。</w:t>
      </w:r>
    </w:p>
    <w:p>
      <w:pPr>
        <w:numPr>
          <w:ilvl w:val="0"/>
          <w:numId w:val="0"/>
        </w:numPr>
        <w:spacing w:line="360" w:lineRule="auto"/>
        <w:rPr>
          <w:rFonts w:hint="eastAsia"/>
          <w:sz w:val="24"/>
          <w:szCs w:val="22"/>
          <w:lang w:val="en-US" w:eastAsia="zh-CN"/>
        </w:rPr>
      </w:pPr>
      <w:r>
        <w:rPr>
          <w:rFonts w:hint="eastAsia"/>
          <w:sz w:val="24"/>
          <w:szCs w:val="22"/>
          <w:lang w:val="en-US" w:eastAsia="zh-CN"/>
        </w:rPr>
        <w:t>"Scientific spirit and cultural literacy education" mainly includes scientific ethics, sports and artistic literacy, labor and other aspects, which are embodied in the form of "extracurricular activities". This course is 1 credit, which is required to be completed before applying for defense. Extracurricular activities converted into hours standard: Participate in extracurricular student activities organized or recognized by the college: 4 hours/time. Graduate students fill in the form as required, sign it by the counselor, and review it by the dean in charge, requiring the course to get at least 16 hours.</w:t>
      </w:r>
    </w:p>
    <w:p>
      <w:pPr>
        <w:spacing w:line="300" w:lineRule="auto"/>
        <w:ind w:firstLine="420" w:firstLineChars="200"/>
        <w:rPr>
          <w:rFonts w:eastAsia="黑体"/>
          <w:color w:val="auto"/>
          <w:szCs w:val="21"/>
        </w:rPr>
      </w:pPr>
      <w:r>
        <w:rPr>
          <w:rFonts w:hint="eastAsia" w:eastAsia="黑体"/>
          <w:color w:val="auto"/>
          <w:szCs w:val="21"/>
        </w:rPr>
        <w:t>四、学位论文工作</w:t>
      </w:r>
    </w:p>
    <w:p>
      <w:pPr>
        <w:spacing w:line="360" w:lineRule="auto"/>
        <w:ind w:firstLine="482" w:firstLineChars="200"/>
        <w:rPr>
          <w:rFonts w:hint="eastAsia" w:eastAsia="宋体"/>
          <w:b/>
          <w:sz w:val="24"/>
          <w:szCs w:val="22"/>
          <w:lang w:val="en-US" w:eastAsia="zh-CN"/>
        </w:rPr>
      </w:pPr>
      <w:r>
        <w:rPr>
          <w:b/>
          <w:sz w:val="24"/>
          <w:szCs w:val="22"/>
        </w:rPr>
        <w:t>（一）文献综述</w:t>
      </w:r>
      <w:r>
        <w:rPr>
          <w:rFonts w:hint="eastAsia"/>
          <w:color w:val="auto"/>
          <w:szCs w:val="21"/>
        </w:rPr>
        <w:t>Literature review</w:t>
      </w:r>
    </w:p>
    <w:p>
      <w:pPr>
        <w:spacing w:line="360" w:lineRule="auto"/>
        <w:ind w:firstLine="480" w:firstLineChars="200"/>
        <w:rPr>
          <w:sz w:val="24"/>
          <w:szCs w:val="22"/>
        </w:rPr>
      </w:pPr>
      <w:r>
        <w:rPr>
          <w:sz w:val="24"/>
          <w:szCs w:val="22"/>
        </w:rPr>
        <w:t>硕士生在第一学期由导师确认研究方向，并围绕研究方向，查阅国内外相关文献不少于15篇，其中外文文献至少10篇。并撰写一份文献综述报告，字数不少于2000字。文献综述报告应在第三学期的9月底（提前毕业硕士生为第二学期的5月底）前完成，并由导师组织考核。</w:t>
      </w:r>
    </w:p>
    <w:p>
      <w:pPr>
        <w:spacing w:line="360" w:lineRule="auto"/>
        <w:ind w:firstLine="480" w:firstLineChars="200"/>
        <w:rPr>
          <w:sz w:val="24"/>
          <w:szCs w:val="22"/>
        </w:rPr>
      </w:pPr>
      <w:r>
        <w:rPr>
          <w:rFonts w:hint="eastAsia"/>
          <w:sz w:val="24"/>
          <w:szCs w:val="22"/>
        </w:rPr>
        <w:t xml:space="preserve">In the first semester, the </w:t>
      </w:r>
      <w:r>
        <w:rPr>
          <w:rFonts w:hint="eastAsia"/>
          <w:sz w:val="24"/>
          <w:szCs w:val="22"/>
          <w:lang w:val="en-US" w:eastAsia="zh-CN"/>
        </w:rPr>
        <w:t>supervisor</w:t>
      </w:r>
      <w:r>
        <w:rPr>
          <w:rFonts w:hint="eastAsia"/>
          <w:sz w:val="24"/>
          <w:szCs w:val="22"/>
        </w:rPr>
        <w:t xml:space="preserve"> confirms the research direction of master students, and around the research direction, consult no less than 15 related literatures at home and abroad, including at least 10 foreign literatures. And write a literature review report with no less than 2000 words. The literature review report should be completed before the end of September of the third semester (the end of May of the second semester for master students who graduate ahead of schedule), and the tutor should organize the assessment.</w:t>
      </w:r>
    </w:p>
    <w:p>
      <w:pPr>
        <w:spacing w:line="360" w:lineRule="auto"/>
        <w:ind w:firstLine="482" w:firstLineChars="200"/>
        <w:rPr>
          <w:rFonts w:hint="eastAsia" w:eastAsia="宋体"/>
          <w:b/>
          <w:sz w:val="24"/>
          <w:szCs w:val="22"/>
          <w:lang w:val="en-US" w:eastAsia="zh-CN"/>
        </w:rPr>
      </w:pPr>
      <w:r>
        <w:rPr>
          <w:b/>
          <w:sz w:val="24"/>
          <w:szCs w:val="22"/>
        </w:rPr>
        <w:t>（二）开题</w:t>
      </w:r>
      <w:r>
        <w:rPr>
          <w:rFonts w:hint="eastAsia"/>
          <w:b/>
          <w:sz w:val="24"/>
          <w:szCs w:val="22"/>
          <w:lang w:val="en-US" w:eastAsia="zh-CN"/>
        </w:rPr>
        <w:t xml:space="preserve"> </w:t>
      </w:r>
      <w:r>
        <w:rPr>
          <w:color w:val="auto"/>
          <w:szCs w:val="21"/>
        </w:rPr>
        <w:t>Research</w:t>
      </w:r>
      <w:r>
        <w:rPr>
          <w:rFonts w:hint="eastAsia"/>
          <w:color w:val="auto"/>
          <w:szCs w:val="21"/>
        </w:rPr>
        <w:t xml:space="preserve"> proposal</w:t>
      </w:r>
    </w:p>
    <w:p>
      <w:pPr>
        <w:spacing w:line="360" w:lineRule="auto"/>
        <w:ind w:firstLine="480" w:firstLineChars="200"/>
        <w:rPr>
          <w:sz w:val="24"/>
          <w:szCs w:val="22"/>
        </w:rPr>
      </w:pPr>
      <w:r>
        <w:rPr>
          <w:sz w:val="24"/>
          <w:szCs w:val="22"/>
        </w:rPr>
        <w:t>学位论文选题应来源于应用课题或现实问题，必须要有明确的职业背景和应用价值，可以是一个完整的工程设计项目、软件开发项目或技术攻关研究专题。论文选题应有一定的技术难度、先进性和工作量，能体现作者综合运用科学理论、方法和技术手段解决工程实际问题的能力。开题报告以文献综述报告为基础，内容包括课题来源、主要参考文献、课题的国内外研究概况及发展趋势、课题研究的目的和意义、课题的技术路线和实施方案、论文工作计划安排、预期效果等。</w:t>
      </w:r>
    </w:p>
    <w:p>
      <w:pPr>
        <w:spacing w:line="360" w:lineRule="auto"/>
        <w:ind w:firstLine="480" w:firstLineChars="200"/>
        <w:rPr>
          <w:sz w:val="24"/>
          <w:szCs w:val="22"/>
        </w:rPr>
      </w:pPr>
      <w:r>
        <w:rPr>
          <w:rFonts w:hint="eastAsia"/>
          <w:sz w:val="24"/>
          <w:szCs w:val="22"/>
        </w:rPr>
        <w:t xml:space="preserve">The topic selection of </w:t>
      </w:r>
      <w:r>
        <w:rPr>
          <w:rFonts w:hint="eastAsia"/>
          <w:sz w:val="24"/>
          <w:szCs w:val="22"/>
          <w:lang w:val="en-US" w:eastAsia="zh-CN"/>
        </w:rPr>
        <w:t>thesis</w:t>
      </w:r>
      <w:r>
        <w:rPr>
          <w:rFonts w:hint="eastAsia"/>
          <w:sz w:val="24"/>
          <w:szCs w:val="22"/>
        </w:rPr>
        <w:t xml:space="preserve"> should come from application topics or practical problems, must have clear professional background and application value, and can be a complete engineering design project, software development project or technical research topic. The topic selection of the thesis should have certain technical difficulty, advancement and workload, which can reflect the author's ability to comprehensively use scientific theories, methods and technical means to solve practical engineering problems. Research proposal is based on the literature review report, including the source of the subject, the main references, the research situation and development trend at home and abroad, the purpose and significance of the subject research, the technical route and implementation scheme of the subject, the work plan of the paper, the expected effect, etc.</w:t>
      </w:r>
    </w:p>
    <w:p>
      <w:pPr>
        <w:spacing w:line="360" w:lineRule="auto"/>
        <w:ind w:firstLine="480" w:firstLineChars="200"/>
        <w:rPr>
          <w:rFonts w:hint="eastAsia"/>
          <w:sz w:val="24"/>
          <w:szCs w:val="22"/>
        </w:rPr>
      </w:pPr>
      <w:r>
        <w:rPr>
          <w:rFonts w:hint="eastAsia"/>
          <w:sz w:val="24"/>
          <w:szCs w:val="22"/>
        </w:rPr>
        <w:t>研究生开题由学院统一组织并集中安排，3年学制的研究生必须在第4学期开学2个月内完成开题，其他学制硕士研究生可根据具体情况适当提前。开题以学术报告方式进行，由3-5名本专业学位类别或相关类别的教授或副教授组成的小组进行讨论和评审。论文选题必须符合本专业学位类别的内涵要。论文选题更改较大者，应重新开题。</w:t>
      </w:r>
    </w:p>
    <w:p>
      <w:pPr>
        <w:spacing w:line="360" w:lineRule="auto"/>
        <w:ind w:firstLine="480" w:firstLineChars="200"/>
        <w:rPr>
          <w:rFonts w:hint="eastAsia"/>
          <w:sz w:val="24"/>
          <w:szCs w:val="22"/>
        </w:rPr>
      </w:pPr>
      <w:r>
        <w:rPr>
          <w:rFonts w:hint="eastAsia"/>
          <w:sz w:val="24"/>
          <w:szCs w:val="22"/>
          <w:lang w:val="en-US" w:eastAsia="zh-CN"/>
        </w:rPr>
        <w:t>S</w:t>
      </w:r>
      <w:r>
        <w:rPr>
          <w:rFonts w:hint="eastAsia"/>
          <w:sz w:val="24"/>
          <w:szCs w:val="22"/>
        </w:rPr>
        <w:t>tudents' Research proposal</w:t>
      </w:r>
      <w:r>
        <w:rPr>
          <w:rFonts w:hint="eastAsia"/>
          <w:sz w:val="24"/>
          <w:szCs w:val="22"/>
          <w:lang w:val="en-US" w:eastAsia="zh-CN"/>
        </w:rPr>
        <w:t xml:space="preserve"> </w:t>
      </w:r>
      <w:r>
        <w:rPr>
          <w:rFonts w:hint="eastAsia"/>
          <w:sz w:val="24"/>
          <w:szCs w:val="22"/>
        </w:rPr>
        <w:t xml:space="preserve">are organized and arranged centrally by the college. Postgraduates with 3-year academic system must complete </w:t>
      </w:r>
      <w:r>
        <w:rPr>
          <w:rFonts w:hint="eastAsia"/>
          <w:sz w:val="24"/>
          <w:szCs w:val="22"/>
          <w:lang w:val="en-US" w:eastAsia="zh-CN"/>
        </w:rPr>
        <w:t xml:space="preserve">it </w:t>
      </w:r>
      <w:r>
        <w:rPr>
          <w:rFonts w:hint="eastAsia"/>
          <w:sz w:val="24"/>
          <w:szCs w:val="22"/>
        </w:rPr>
        <w:t>within 2 months after the start of the fourth semester. The topic is in the form of an academic report, which is discussed and evaluated by a group composed of 3-5 professors or associate professors. The topic selection of the thesis must conform to the connotation of the professional degree category. If the topic selection of the thesis has changed greatly, it should be re</w:t>
      </w:r>
      <w:r>
        <w:rPr>
          <w:rFonts w:hint="eastAsia"/>
          <w:sz w:val="24"/>
          <w:szCs w:val="22"/>
          <w:lang w:val="en-US" w:eastAsia="zh-CN"/>
        </w:rPr>
        <w:t>submitted</w:t>
      </w:r>
      <w:r>
        <w:rPr>
          <w:rFonts w:hint="eastAsia"/>
          <w:sz w:val="24"/>
          <w:szCs w:val="22"/>
        </w:rPr>
        <w:t>.</w:t>
      </w:r>
    </w:p>
    <w:p>
      <w:pPr>
        <w:spacing w:line="360" w:lineRule="auto"/>
        <w:ind w:firstLine="480" w:firstLineChars="200"/>
        <w:rPr>
          <w:rFonts w:hint="default" w:eastAsia="宋体"/>
          <w:b/>
          <w:sz w:val="24"/>
          <w:szCs w:val="22"/>
          <w:lang w:val="en-US" w:eastAsia="zh-CN"/>
        </w:rPr>
      </w:pPr>
      <w:r>
        <w:rPr>
          <w:rFonts w:hint="eastAsia"/>
          <w:sz w:val="24"/>
          <w:szCs w:val="22"/>
        </w:rPr>
        <w:t xml:space="preserve"> </w:t>
      </w:r>
      <w:r>
        <w:rPr>
          <w:b/>
          <w:sz w:val="24"/>
          <w:szCs w:val="22"/>
        </w:rPr>
        <w:t>（三）中期</w:t>
      </w:r>
      <w:r>
        <w:rPr>
          <w:rFonts w:hint="eastAsia"/>
          <w:b/>
          <w:sz w:val="24"/>
          <w:szCs w:val="22"/>
        </w:rPr>
        <w:t>考核</w:t>
      </w:r>
      <w:r>
        <w:rPr>
          <w:rFonts w:hint="eastAsia"/>
          <w:b/>
          <w:sz w:val="24"/>
          <w:szCs w:val="22"/>
          <w:lang w:val="en-US" w:eastAsia="zh-CN"/>
        </w:rPr>
        <w:t xml:space="preserve"> Interim report</w:t>
      </w:r>
    </w:p>
    <w:p>
      <w:pPr>
        <w:spacing w:line="360" w:lineRule="auto"/>
        <w:ind w:firstLine="480" w:firstLineChars="200"/>
        <w:rPr>
          <w:rFonts w:hint="eastAsia"/>
          <w:sz w:val="24"/>
          <w:szCs w:val="22"/>
        </w:rPr>
      </w:pPr>
      <w:r>
        <w:rPr>
          <w:sz w:val="24"/>
          <w:szCs w:val="22"/>
        </w:rPr>
        <w:t>中期检查内容包括课程学习（含专业实践）、文献综述、开题报告的完成情况及学术研究成果、学位论文研究进展等情况</w:t>
      </w:r>
      <w:r>
        <w:rPr>
          <w:rFonts w:hint="eastAsia"/>
          <w:sz w:val="24"/>
          <w:szCs w:val="22"/>
        </w:rPr>
        <w:t>。重点检查已完成的研究内容和取得的成效、是否按照开题报告的内容和进度进行、存在的问题、下阶段要完成的研究内容及其具体工作计划等。</w:t>
      </w:r>
    </w:p>
    <w:p>
      <w:pPr>
        <w:spacing w:line="360" w:lineRule="auto"/>
        <w:ind w:firstLine="480" w:firstLineChars="200"/>
        <w:rPr>
          <w:rFonts w:hint="eastAsia"/>
          <w:sz w:val="24"/>
          <w:szCs w:val="22"/>
        </w:rPr>
      </w:pPr>
      <w:r>
        <w:rPr>
          <w:rFonts w:hint="eastAsia"/>
          <w:sz w:val="24"/>
          <w:szCs w:val="22"/>
        </w:rPr>
        <w:t xml:space="preserve">The </w:t>
      </w:r>
      <w:r>
        <w:rPr>
          <w:rFonts w:hint="eastAsia"/>
          <w:sz w:val="24"/>
          <w:szCs w:val="22"/>
          <w:lang w:val="en-US" w:eastAsia="zh-CN"/>
        </w:rPr>
        <w:t>interim report</w:t>
      </w:r>
      <w:r>
        <w:rPr>
          <w:rFonts w:hint="eastAsia"/>
          <w:sz w:val="24"/>
          <w:szCs w:val="22"/>
        </w:rPr>
        <w:t xml:space="preserve"> includes course study (including professional practice), literature review, completion of </w:t>
      </w:r>
      <w:r>
        <w:rPr>
          <w:rFonts w:hint="eastAsia"/>
          <w:sz w:val="24"/>
          <w:szCs w:val="22"/>
          <w:lang w:val="en-US" w:eastAsia="zh-CN"/>
        </w:rPr>
        <w:t>proposal</w:t>
      </w:r>
      <w:r>
        <w:rPr>
          <w:rFonts w:hint="eastAsia"/>
          <w:sz w:val="24"/>
          <w:szCs w:val="22"/>
        </w:rPr>
        <w:t xml:space="preserve">, academic research results, research progress of </w:t>
      </w:r>
      <w:r>
        <w:rPr>
          <w:rFonts w:hint="eastAsia"/>
          <w:sz w:val="24"/>
          <w:szCs w:val="22"/>
          <w:lang w:val="en-US" w:eastAsia="zh-CN"/>
        </w:rPr>
        <w:t>thesis</w:t>
      </w:r>
      <w:r>
        <w:rPr>
          <w:rFonts w:hint="eastAsia"/>
          <w:sz w:val="24"/>
          <w:szCs w:val="22"/>
        </w:rPr>
        <w:t xml:space="preserve">, etc. Focus on checking the completed research contents and achievements, whether they are carried out according to the contents and progress of the </w:t>
      </w:r>
      <w:r>
        <w:rPr>
          <w:rFonts w:hint="eastAsia"/>
          <w:sz w:val="24"/>
          <w:szCs w:val="22"/>
          <w:lang w:val="en-US" w:eastAsia="zh-CN"/>
        </w:rPr>
        <w:t>proposal</w:t>
      </w:r>
      <w:r>
        <w:rPr>
          <w:rFonts w:hint="eastAsia"/>
          <w:sz w:val="24"/>
          <w:szCs w:val="22"/>
        </w:rPr>
        <w:t>, the existing problems, the research contents to be completed in the next stage and their specific work plans, etc.</w:t>
      </w:r>
    </w:p>
    <w:p>
      <w:pPr>
        <w:spacing w:line="360" w:lineRule="auto"/>
        <w:ind w:firstLine="480" w:firstLineChars="200"/>
        <w:rPr>
          <w:rFonts w:hint="eastAsia"/>
          <w:sz w:val="24"/>
          <w:szCs w:val="22"/>
        </w:rPr>
      </w:pPr>
      <w:r>
        <w:rPr>
          <w:rFonts w:hint="eastAsia"/>
          <w:sz w:val="24"/>
          <w:szCs w:val="22"/>
        </w:rPr>
        <w:t>研究生的中期考核由学院统一组织并集中安排，3年制硕士研究生的中期考核须在第5学期结束前完成</w:t>
      </w:r>
      <w:r>
        <w:rPr>
          <w:sz w:val="24"/>
          <w:szCs w:val="22"/>
        </w:rPr>
        <w:t>（提前毕业硕士生为第四学期</w:t>
      </w:r>
      <w:r>
        <w:rPr>
          <w:rFonts w:hint="eastAsia"/>
          <w:sz w:val="24"/>
          <w:szCs w:val="22"/>
        </w:rPr>
        <w:t>结束</w:t>
      </w:r>
      <w:r>
        <w:rPr>
          <w:sz w:val="24"/>
          <w:szCs w:val="22"/>
        </w:rPr>
        <w:t>前</w:t>
      </w:r>
      <w:r>
        <w:rPr>
          <w:rFonts w:hint="eastAsia"/>
          <w:sz w:val="24"/>
          <w:szCs w:val="22"/>
        </w:rPr>
        <w:t>完成)。中期总结报告以学术报告方式进行，由3-5名本专业学位类别或相关类别的教授或副教授组成的小组进行讨论和评审</w:t>
      </w:r>
      <w:r>
        <w:rPr>
          <w:sz w:val="24"/>
          <w:szCs w:val="22"/>
        </w:rPr>
        <w:t>，并根据考核结果给出学分</w:t>
      </w:r>
      <w:r>
        <w:rPr>
          <w:rFonts w:hint="eastAsia"/>
          <w:sz w:val="24"/>
          <w:szCs w:val="22"/>
        </w:rPr>
        <w:t>。</w:t>
      </w:r>
    </w:p>
    <w:p>
      <w:pPr>
        <w:spacing w:line="360" w:lineRule="auto"/>
        <w:ind w:firstLine="480" w:firstLineChars="200"/>
        <w:rPr>
          <w:rFonts w:hint="eastAsia"/>
          <w:sz w:val="24"/>
          <w:szCs w:val="22"/>
        </w:rPr>
      </w:pPr>
      <w:r>
        <w:rPr>
          <w:rFonts w:hint="eastAsia"/>
          <w:sz w:val="24"/>
          <w:szCs w:val="22"/>
        </w:rPr>
        <w:t xml:space="preserve">The </w:t>
      </w:r>
      <w:r>
        <w:rPr>
          <w:rFonts w:hint="eastAsia"/>
          <w:sz w:val="24"/>
          <w:szCs w:val="22"/>
          <w:lang w:val="en-US" w:eastAsia="zh-CN"/>
        </w:rPr>
        <w:t xml:space="preserve">interim report </w:t>
      </w:r>
      <w:r>
        <w:rPr>
          <w:rFonts w:hint="eastAsia"/>
          <w:sz w:val="24"/>
          <w:szCs w:val="22"/>
        </w:rPr>
        <w:t xml:space="preserve">assessment is organized and arranged by the college, and </w:t>
      </w:r>
      <w:r>
        <w:rPr>
          <w:rFonts w:hint="eastAsia"/>
          <w:sz w:val="24"/>
          <w:szCs w:val="22"/>
          <w:lang w:val="en-US" w:eastAsia="zh-CN"/>
        </w:rPr>
        <w:t>it</w:t>
      </w:r>
      <w:r>
        <w:rPr>
          <w:rFonts w:hint="eastAsia"/>
          <w:sz w:val="24"/>
          <w:szCs w:val="22"/>
        </w:rPr>
        <w:t xml:space="preserve"> must be completed before the end of the fifth semester (graduates who graduate early are completed before the end of the fourth semester). The interim report is conducted in the form of academic report, which is discussed and reviewed by a group composed of 3-5 professors or associate professors.</w:t>
      </w:r>
    </w:p>
    <w:p>
      <w:pPr>
        <w:spacing w:line="360" w:lineRule="auto"/>
        <w:ind w:firstLine="482" w:firstLineChars="200"/>
        <w:rPr>
          <w:rFonts w:hint="eastAsia"/>
          <w:b/>
          <w:sz w:val="24"/>
          <w:szCs w:val="22"/>
        </w:rPr>
      </w:pPr>
      <w:r>
        <w:rPr>
          <w:b/>
          <w:sz w:val="24"/>
          <w:szCs w:val="22"/>
        </w:rPr>
        <w:t>（四）</w:t>
      </w:r>
      <w:r>
        <w:rPr>
          <w:rFonts w:hint="eastAsia"/>
          <w:b/>
          <w:sz w:val="24"/>
          <w:szCs w:val="22"/>
        </w:rPr>
        <w:t>成果要求</w:t>
      </w:r>
    </w:p>
    <w:p>
      <w:pPr>
        <w:spacing w:line="360" w:lineRule="auto"/>
        <w:ind w:firstLine="480" w:firstLineChars="200"/>
        <w:rPr>
          <w:sz w:val="24"/>
          <w:szCs w:val="22"/>
        </w:rPr>
      </w:pPr>
      <w:r>
        <w:rPr>
          <w:sz w:val="24"/>
          <w:szCs w:val="22"/>
        </w:rPr>
        <w:t>科研训练是硕士生培养的重要环节，硕士生在毕业前须至少完成以下4种学术研究成果的任意1项：</w:t>
      </w:r>
    </w:p>
    <w:p>
      <w:pPr>
        <w:spacing w:line="360" w:lineRule="auto"/>
        <w:ind w:firstLine="480" w:firstLineChars="200"/>
        <w:rPr>
          <w:sz w:val="24"/>
          <w:szCs w:val="22"/>
        </w:rPr>
      </w:pPr>
      <w:r>
        <w:rPr>
          <w:rFonts w:hint="eastAsia"/>
          <w:sz w:val="24"/>
          <w:szCs w:val="22"/>
        </w:rPr>
        <w:t>Scientific research training is an important link in the training of master students. Before graduation, master students must complete at least one of the following four academic research results:</w:t>
      </w:r>
    </w:p>
    <w:p>
      <w:pPr>
        <w:numPr>
          <w:ilvl w:val="0"/>
          <w:numId w:val="3"/>
        </w:numPr>
        <w:spacing w:line="360" w:lineRule="auto"/>
        <w:ind w:firstLine="480" w:firstLineChars="200"/>
        <w:rPr>
          <w:sz w:val="24"/>
          <w:szCs w:val="22"/>
        </w:rPr>
      </w:pPr>
      <w:r>
        <w:rPr>
          <w:sz w:val="24"/>
          <w:szCs w:val="22"/>
        </w:rPr>
        <w:t>研发成果。独立开展或作为主要成员参与实际应用课题研发，取得学院验收认定的研发成果（需提供研发成果验收单或应用证明），并获得软件著作权；</w:t>
      </w:r>
    </w:p>
    <w:p>
      <w:pPr>
        <w:numPr>
          <w:ilvl w:val="0"/>
          <w:numId w:val="0"/>
        </w:numPr>
        <w:spacing w:line="360" w:lineRule="auto"/>
        <w:rPr>
          <w:sz w:val="24"/>
          <w:szCs w:val="22"/>
        </w:rPr>
      </w:pPr>
      <w:r>
        <w:rPr>
          <w:rFonts w:hint="eastAsia"/>
          <w:sz w:val="24"/>
          <w:szCs w:val="22"/>
        </w:rPr>
        <w:t>Research and development achievements. Independently carry out or participate in the research and development of practical application projects as a major member, obtain the research and development results recognized by the college (need to provide the acceptance form or application certificate of research and development results), and obtain software copyright;</w:t>
      </w:r>
    </w:p>
    <w:p>
      <w:pPr>
        <w:numPr>
          <w:ilvl w:val="0"/>
          <w:numId w:val="3"/>
        </w:numPr>
        <w:spacing w:line="360" w:lineRule="auto"/>
        <w:ind w:left="0" w:leftChars="0" w:firstLine="480" w:firstLineChars="200"/>
        <w:rPr>
          <w:rFonts w:hint="eastAsia"/>
          <w:sz w:val="24"/>
          <w:szCs w:val="22"/>
        </w:rPr>
      </w:pPr>
      <w:r>
        <w:rPr>
          <w:sz w:val="24"/>
          <w:szCs w:val="22"/>
        </w:rPr>
        <w:t>学术论文。至少发表一篇与学位论文相关的学术论文，要求研究生为第一作者，或导师（副导师）第一作者且研究生为第二作者</w:t>
      </w:r>
      <w:r>
        <w:rPr>
          <w:rFonts w:hint="eastAsia"/>
          <w:sz w:val="24"/>
          <w:szCs w:val="22"/>
        </w:rPr>
        <w:t>，</w:t>
      </w:r>
      <w:r>
        <w:rPr>
          <w:sz w:val="24"/>
          <w:szCs w:val="22"/>
        </w:rPr>
        <w:t>且论文被SCI/EI检索。</w:t>
      </w:r>
      <w:r>
        <w:rPr>
          <w:rFonts w:hint="eastAsia"/>
          <w:sz w:val="24"/>
          <w:szCs w:val="22"/>
        </w:rPr>
        <w:t>已录用且能提供录用通知的论文可作为申请答辩认定的成果（其中，需缴纳版面费或发表费的，还需提供缴费证明）；</w:t>
      </w:r>
    </w:p>
    <w:p>
      <w:pPr>
        <w:numPr>
          <w:ilvl w:val="0"/>
          <w:numId w:val="0"/>
        </w:numPr>
        <w:spacing w:line="360" w:lineRule="auto"/>
        <w:rPr>
          <w:rFonts w:hint="eastAsia"/>
          <w:sz w:val="24"/>
          <w:szCs w:val="22"/>
        </w:rPr>
      </w:pPr>
      <w:r>
        <w:rPr>
          <w:rFonts w:hint="eastAsia"/>
          <w:sz w:val="24"/>
          <w:szCs w:val="22"/>
        </w:rPr>
        <w:t xml:space="preserve">Academic papers. Publish at least one academic paper related to </w:t>
      </w:r>
      <w:r>
        <w:rPr>
          <w:rFonts w:hint="eastAsia"/>
          <w:sz w:val="24"/>
          <w:szCs w:val="22"/>
          <w:lang w:val="en-US" w:eastAsia="zh-CN"/>
        </w:rPr>
        <w:t>thesis</w:t>
      </w:r>
      <w:r>
        <w:rPr>
          <w:rFonts w:hint="eastAsia"/>
          <w:sz w:val="24"/>
          <w:szCs w:val="22"/>
        </w:rPr>
        <w:t xml:space="preserve">, requiring the graduate student to be the first author, or the tutor (assistant tutor) to be the first author and the graduate student to be the second author, and the paper to be retrieved by SCI/EI. Papers that have been </w:t>
      </w:r>
      <w:r>
        <w:rPr>
          <w:rFonts w:hint="eastAsia"/>
          <w:sz w:val="24"/>
          <w:szCs w:val="22"/>
          <w:lang w:val="en-US" w:eastAsia="zh-CN"/>
        </w:rPr>
        <w:t>admitted</w:t>
      </w:r>
      <w:r>
        <w:rPr>
          <w:rFonts w:hint="eastAsia"/>
          <w:sz w:val="24"/>
          <w:szCs w:val="22"/>
        </w:rPr>
        <w:t xml:space="preserve"> and can provide notices can be used as the results of applying for defense recognition (among them, if you need to pay fees or publishing fees, you need to provide payment </w:t>
      </w:r>
      <w:r>
        <w:rPr>
          <w:rFonts w:hint="eastAsia"/>
          <w:sz w:val="24"/>
          <w:szCs w:val="22"/>
          <w:lang w:val="en-US" w:eastAsia="zh-CN"/>
        </w:rPr>
        <w:t>record</w:t>
      </w:r>
      <w:r>
        <w:rPr>
          <w:rFonts w:hint="eastAsia"/>
          <w:sz w:val="24"/>
          <w:szCs w:val="22"/>
        </w:rPr>
        <w:t>);</w:t>
      </w:r>
    </w:p>
    <w:p>
      <w:pPr>
        <w:numPr>
          <w:ilvl w:val="0"/>
          <w:numId w:val="3"/>
        </w:numPr>
        <w:spacing w:line="360" w:lineRule="auto"/>
        <w:ind w:left="0" w:leftChars="0" w:firstLine="480" w:firstLineChars="200"/>
        <w:rPr>
          <w:rFonts w:hint="eastAsia"/>
          <w:sz w:val="24"/>
          <w:szCs w:val="22"/>
        </w:rPr>
      </w:pPr>
      <w:r>
        <w:rPr>
          <w:sz w:val="24"/>
          <w:szCs w:val="22"/>
        </w:rPr>
        <w:t>发明专利。</w:t>
      </w:r>
      <w:r>
        <w:rPr>
          <w:rFonts w:hint="eastAsia"/>
          <w:sz w:val="24"/>
          <w:szCs w:val="22"/>
        </w:rPr>
        <w:t>公示或授权发明专利一项，</w:t>
      </w:r>
      <w:r>
        <w:rPr>
          <w:sz w:val="24"/>
          <w:szCs w:val="22"/>
        </w:rPr>
        <w:t>要求研究生排名第一，或软件学院教师排名第一、研究生排名第二，且专利与学位论文内容相关</w:t>
      </w:r>
      <w:r>
        <w:rPr>
          <w:rFonts w:hint="eastAsia"/>
          <w:sz w:val="24"/>
          <w:szCs w:val="22"/>
        </w:rPr>
        <w:t>；</w:t>
      </w:r>
    </w:p>
    <w:p>
      <w:pPr>
        <w:numPr>
          <w:ilvl w:val="0"/>
          <w:numId w:val="0"/>
        </w:numPr>
        <w:spacing w:line="360" w:lineRule="auto"/>
        <w:rPr>
          <w:rFonts w:hint="eastAsia"/>
          <w:sz w:val="24"/>
          <w:szCs w:val="22"/>
        </w:rPr>
      </w:pPr>
      <w:r>
        <w:rPr>
          <w:rFonts w:hint="eastAsia"/>
          <w:sz w:val="24"/>
          <w:szCs w:val="22"/>
        </w:rPr>
        <w:t>Invention patent. Publicize or authorize an invention patent, requiring graduate students to rank first, or teachers of software colleges to rank first, graduate students to rank second, and patents are related to the content of dissertations;</w:t>
      </w:r>
    </w:p>
    <w:p>
      <w:pPr>
        <w:numPr>
          <w:ilvl w:val="0"/>
          <w:numId w:val="3"/>
        </w:numPr>
        <w:spacing w:line="360" w:lineRule="auto"/>
        <w:ind w:left="0" w:leftChars="0" w:firstLine="480" w:firstLineChars="200"/>
        <w:rPr>
          <w:sz w:val="24"/>
          <w:szCs w:val="22"/>
        </w:rPr>
      </w:pPr>
      <w:r>
        <w:rPr>
          <w:sz w:val="24"/>
          <w:szCs w:val="22"/>
        </w:rPr>
        <w:t>经学院认可的其他学术或研发成果1项。</w:t>
      </w:r>
    </w:p>
    <w:p>
      <w:pPr>
        <w:numPr>
          <w:ilvl w:val="0"/>
          <w:numId w:val="0"/>
        </w:numPr>
        <w:spacing w:line="360" w:lineRule="auto"/>
        <w:rPr>
          <w:rFonts w:hint="eastAsia"/>
          <w:sz w:val="24"/>
          <w:szCs w:val="22"/>
        </w:rPr>
      </w:pPr>
      <w:r>
        <w:rPr>
          <w:rFonts w:hint="eastAsia"/>
          <w:sz w:val="24"/>
          <w:szCs w:val="22"/>
        </w:rPr>
        <w:t>1 other academic or research and development achievement recognized by the college.</w:t>
      </w:r>
    </w:p>
    <w:p>
      <w:pPr>
        <w:spacing w:line="360" w:lineRule="auto"/>
        <w:ind w:firstLine="480" w:firstLineChars="200"/>
        <w:rPr>
          <w:sz w:val="24"/>
          <w:szCs w:val="22"/>
        </w:rPr>
      </w:pPr>
      <w:r>
        <w:rPr>
          <w:sz w:val="24"/>
          <w:szCs w:val="22"/>
        </w:rPr>
        <w:t>以上学术研究成果须在导师指导下完成，并符合选题方向。研究生满足提前毕业条件的成果，与满足本学术研究成果要求的成果不能重复使用。</w:t>
      </w:r>
    </w:p>
    <w:p>
      <w:pPr>
        <w:spacing w:line="360" w:lineRule="auto"/>
        <w:rPr>
          <w:sz w:val="24"/>
          <w:szCs w:val="22"/>
        </w:rPr>
      </w:pPr>
      <w:r>
        <w:rPr>
          <w:rFonts w:hint="eastAsia"/>
          <w:sz w:val="24"/>
          <w:szCs w:val="22"/>
        </w:rPr>
        <w:t>The above academic research results must be completed under the guidance of the tutor and conform to the topic selection direction. The results of graduate students meeting the conditions for early graduation and the results meeting the requirements of this academic research cannot be reused.</w:t>
      </w:r>
    </w:p>
    <w:p>
      <w:pPr>
        <w:numPr>
          <w:ilvl w:val="0"/>
          <w:numId w:val="4"/>
        </w:numPr>
        <w:spacing w:line="360" w:lineRule="auto"/>
        <w:ind w:firstLine="482" w:firstLineChars="200"/>
        <w:rPr>
          <w:rFonts w:hint="eastAsia"/>
          <w:b/>
          <w:sz w:val="24"/>
          <w:szCs w:val="22"/>
        </w:rPr>
      </w:pPr>
      <w:r>
        <w:rPr>
          <w:rFonts w:hint="eastAsia"/>
          <w:b/>
          <w:sz w:val="24"/>
          <w:szCs w:val="22"/>
        </w:rPr>
        <w:t>汉语水平要求</w:t>
      </w:r>
      <w:r>
        <w:rPr>
          <w:rFonts w:hint="eastAsia"/>
          <w:b/>
          <w:sz w:val="24"/>
          <w:szCs w:val="22"/>
          <w:lang w:val="en-US" w:eastAsia="zh-CN"/>
        </w:rPr>
        <w:t xml:space="preserve"> Chinese Proficiency Requirements</w:t>
      </w:r>
    </w:p>
    <w:p>
      <w:pPr>
        <w:spacing w:line="360" w:lineRule="auto"/>
        <w:ind w:firstLine="480" w:firstLineChars="200"/>
        <w:rPr>
          <w:rFonts w:hint="eastAsia"/>
          <w:sz w:val="24"/>
          <w:szCs w:val="22"/>
        </w:rPr>
      </w:pPr>
      <w:r>
        <w:rPr>
          <w:rFonts w:hint="eastAsia"/>
          <w:sz w:val="24"/>
          <w:szCs w:val="22"/>
        </w:rPr>
        <w:t>中文能力应当至少达到《国际汉语能力标准三级》水平。</w:t>
      </w:r>
    </w:p>
    <w:p>
      <w:pPr>
        <w:spacing w:line="360" w:lineRule="auto"/>
        <w:ind w:firstLine="480" w:firstLineChars="200"/>
        <w:rPr>
          <w:rFonts w:hint="default" w:eastAsia="宋体"/>
          <w:sz w:val="24"/>
          <w:szCs w:val="22"/>
          <w:lang w:val="en-US" w:eastAsia="zh-CN"/>
        </w:rPr>
      </w:pPr>
      <w:r>
        <w:rPr>
          <w:rFonts w:hint="eastAsia"/>
          <w:sz w:val="24"/>
          <w:szCs w:val="22"/>
        </w:rPr>
        <w:t xml:space="preserve">Chinese proficiency should at least </w:t>
      </w:r>
      <w:r>
        <w:rPr>
          <w:rFonts w:hint="eastAsia"/>
          <w:sz w:val="24"/>
          <w:szCs w:val="22"/>
          <w:lang w:val="en-US" w:eastAsia="zh-CN"/>
        </w:rPr>
        <w:t>pass HSK 3.</w:t>
      </w:r>
    </w:p>
    <w:p>
      <w:pPr>
        <w:spacing w:line="360" w:lineRule="auto"/>
        <w:ind w:firstLine="482" w:firstLineChars="200"/>
        <w:rPr>
          <w:rFonts w:hint="default" w:eastAsia="宋体"/>
          <w:b/>
          <w:sz w:val="24"/>
          <w:szCs w:val="22"/>
          <w:lang w:val="en-US" w:eastAsia="zh-CN"/>
        </w:rPr>
      </w:pPr>
      <w:r>
        <w:rPr>
          <w:rFonts w:hint="eastAsia"/>
          <w:b/>
          <w:sz w:val="24"/>
          <w:szCs w:val="22"/>
        </w:rPr>
        <w:t>（六）</w:t>
      </w:r>
      <w:r>
        <w:rPr>
          <w:b/>
          <w:sz w:val="24"/>
          <w:szCs w:val="22"/>
        </w:rPr>
        <w:t>学位论文撰写</w:t>
      </w:r>
      <w:r>
        <w:rPr>
          <w:rFonts w:hint="eastAsia"/>
          <w:b/>
          <w:sz w:val="24"/>
          <w:szCs w:val="22"/>
          <w:lang w:val="en-US" w:eastAsia="zh-CN"/>
        </w:rPr>
        <w:t xml:space="preserve"> Thesis</w:t>
      </w:r>
    </w:p>
    <w:p>
      <w:pPr>
        <w:spacing w:line="360" w:lineRule="auto"/>
        <w:ind w:firstLine="480" w:firstLineChars="200"/>
        <w:rPr>
          <w:rFonts w:hint="eastAsia"/>
          <w:sz w:val="24"/>
          <w:szCs w:val="22"/>
        </w:rPr>
      </w:pPr>
      <w:r>
        <w:rPr>
          <w:rFonts w:hint="eastAsia"/>
          <w:sz w:val="24"/>
          <w:szCs w:val="22"/>
        </w:rPr>
        <w:t>学位论文须在导师指导下独立完成，体现作者综合运用科学理论、方法和技术手段解决实际问题的能力，具有先进性、实用性，取得了较好的成效。学位论文应满足本学科学位授予标准。学位论文撰写要求按《东北大学研究生学位论文撰写标准》执行。</w:t>
      </w:r>
    </w:p>
    <w:p>
      <w:pPr>
        <w:spacing w:line="360" w:lineRule="auto"/>
        <w:ind w:firstLine="480" w:firstLineChars="200"/>
        <w:rPr>
          <w:rFonts w:hint="eastAsia"/>
          <w:sz w:val="24"/>
          <w:szCs w:val="22"/>
        </w:rPr>
      </w:pPr>
      <w:r>
        <w:rPr>
          <w:rFonts w:hint="eastAsia"/>
          <w:sz w:val="24"/>
          <w:szCs w:val="22"/>
          <w:lang w:val="en-US" w:eastAsia="zh-CN"/>
        </w:rPr>
        <w:t>Thesis</w:t>
      </w:r>
      <w:r>
        <w:rPr>
          <w:rFonts w:hint="eastAsia"/>
          <w:sz w:val="24"/>
          <w:szCs w:val="22"/>
        </w:rPr>
        <w:t xml:space="preserve"> must be completed independently under the guidance of tutors, which reflects the author's ability to comprehensively use scientific theories, methods and technical means to solve practical problems. They are advanced and practical, and have achieved good results. </w:t>
      </w:r>
      <w:r>
        <w:rPr>
          <w:rFonts w:hint="eastAsia"/>
          <w:sz w:val="24"/>
          <w:szCs w:val="22"/>
          <w:lang w:val="en-US" w:eastAsia="zh-CN"/>
        </w:rPr>
        <w:t>Thesis</w:t>
      </w:r>
      <w:r>
        <w:rPr>
          <w:rFonts w:hint="eastAsia"/>
          <w:sz w:val="24"/>
          <w:szCs w:val="22"/>
        </w:rPr>
        <w:t xml:space="preserve"> should meet the degree-granting standards of this discipline. The requirements for writing dissertations shall be implemented according to the Standards for Writing Postgraduate Dissertations of Northeastern University.</w:t>
      </w:r>
    </w:p>
    <w:p>
      <w:pPr>
        <w:spacing w:line="360" w:lineRule="auto"/>
        <w:ind w:firstLine="480" w:firstLineChars="200"/>
        <w:rPr>
          <w:rFonts w:hint="eastAsia"/>
          <w:sz w:val="24"/>
          <w:szCs w:val="22"/>
        </w:rPr>
      </w:pPr>
      <w:r>
        <w:rPr>
          <w:sz w:val="24"/>
          <w:szCs w:val="22"/>
        </w:rPr>
        <w:t>学位论文</w:t>
      </w:r>
      <w:r>
        <w:rPr>
          <w:rFonts w:hint="eastAsia"/>
          <w:sz w:val="24"/>
          <w:szCs w:val="22"/>
        </w:rPr>
        <w:t>可将</w:t>
      </w:r>
      <w:r>
        <w:rPr>
          <w:sz w:val="24"/>
          <w:szCs w:val="22"/>
        </w:rPr>
        <w:t>应用基础研究、规划设计、产品开发、案例分析等</w:t>
      </w:r>
      <w:r>
        <w:rPr>
          <w:rFonts w:hint="eastAsia"/>
          <w:sz w:val="24"/>
          <w:szCs w:val="22"/>
        </w:rPr>
        <w:t>为主要内容，以论文形式表现。</w:t>
      </w:r>
    </w:p>
    <w:p>
      <w:pPr>
        <w:spacing w:line="360" w:lineRule="auto"/>
        <w:ind w:firstLine="480" w:firstLineChars="200"/>
        <w:rPr>
          <w:rFonts w:hint="eastAsia"/>
          <w:sz w:val="24"/>
          <w:szCs w:val="22"/>
        </w:rPr>
      </w:pPr>
      <w:r>
        <w:rPr>
          <w:rFonts w:hint="eastAsia"/>
          <w:sz w:val="24"/>
          <w:szCs w:val="22"/>
        </w:rPr>
        <w:t xml:space="preserve">The dissertation can take applied basic research, planning and design, product development, case analysis, etc. as the main contents and express in the form of </w:t>
      </w:r>
      <w:r>
        <w:rPr>
          <w:rFonts w:hint="eastAsia"/>
          <w:sz w:val="24"/>
          <w:szCs w:val="22"/>
          <w:lang w:val="en-US" w:eastAsia="zh-CN"/>
        </w:rPr>
        <w:t>thesis</w:t>
      </w:r>
      <w:r>
        <w:rPr>
          <w:rFonts w:hint="eastAsia"/>
          <w:sz w:val="24"/>
          <w:szCs w:val="22"/>
        </w:rPr>
        <w:t>.</w:t>
      </w:r>
    </w:p>
    <w:p>
      <w:pPr>
        <w:spacing w:line="360" w:lineRule="auto"/>
        <w:ind w:firstLine="482" w:firstLineChars="200"/>
        <w:rPr>
          <w:rFonts w:hint="default" w:eastAsia="宋体"/>
          <w:b/>
          <w:sz w:val="24"/>
          <w:szCs w:val="22"/>
          <w:lang w:val="en-US" w:eastAsia="zh-CN"/>
        </w:rPr>
      </w:pPr>
      <w:r>
        <w:rPr>
          <w:b/>
          <w:sz w:val="24"/>
          <w:szCs w:val="22"/>
        </w:rPr>
        <w:t>（六）论文预答辩</w:t>
      </w:r>
      <w:r>
        <w:rPr>
          <w:rFonts w:hint="eastAsia"/>
          <w:b/>
          <w:sz w:val="24"/>
          <w:szCs w:val="22"/>
          <w:lang w:val="en-US" w:eastAsia="zh-CN"/>
        </w:rPr>
        <w:t xml:space="preserve"> Pre-defence </w:t>
      </w:r>
    </w:p>
    <w:p>
      <w:pPr>
        <w:spacing w:line="360" w:lineRule="auto"/>
        <w:ind w:firstLine="480" w:firstLineChars="200"/>
        <w:rPr>
          <w:sz w:val="24"/>
          <w:szCs w:val="22"/>
        </w:rPr>
      </w:pPr>
      <w:r>
        <w:rPr>
          <w:sz w:val="24"/>
          <w:szCs w:val="22"/>
        </w:rPr>
        <w:t>硕士专业学位论文预答辩工作由学院统一安排，论文预答辩以学术报告形式进行，由3-5名软件工程专业（领域）或相关类别（领域）的教授或副教授组成的小组进行论证和评审。论文预答辩未通过的研究生不能申请送审学位论文。</w:t>
      </w:r>
    </w:p>
    <w:p>
      <w:pPr>
        <w:spacing w:line="360" w:lineRule="auto"/>
        <w:ind w:firstLine="480" w:firstLineChars="200"/>
        <w:rPr>
          <w:sz w:val="24"/>
          <w:szCs w:val="22"/>
        </w:rPr>
      </w:pPr>
      <w:r>
        <w:rPr>
          <w:rFonts w:hint="eastAsia"/>
          <w:sz w:val="24"/>
          <w:szCs w:val="22"/>
        </w:rPr>
        <w:t xml:space="preserve">The pre-defense is arranged by the college, and </w:t>
      </w:r>
      <w:r>
        <w:rPr>
          <w:rFonts w:hint="eastAsia"/>
          <w:sz w:val="24"/>
          <w:szCs w:val="22"/>
          <w:lang w:val="en-US" w:eastAsia="zh-CN"/>
        </w:rPr>
        <w:t xml:space="preserve">it </w:t>
      </w:r>
      <w:r>
        <w:rPr>
          <w:rFonts w:hint="eastAsia"/>
          <w:sz w:val="24"/>
          <w:szCs w:val="22"/>
        </w:rPr>
        <w:t xml:space="preserve">is conducted in the form of academic reports, which are demonstrated and reviewed by a group composed of 3-5 professors or associate professors of software engineering majors (fields) or related categories (fields). Postgraduates who fail to pass the pre-defense cannot apply for </w:t>
      </w:r>
      <w:r>
        <w:rPr>
          <w:rFonts w:hint="eastAsia"/>
          <w:sz w:val="24"/>
          <w:szCs w:val="22"/>
          <w:lang w:val="en-US" w:eastAsia="zh-CN"/>
        </w:rPr>
        <w:t>graduation</w:t>
      </w:r>
      <w:r>
        <w:rPr>
          <w:rFonts w:hint="eastAsia"/>
          <w:sz w:val="24"/>
          <w:szCs w:val="22"/>
        </w:rPr>
        <w:t>.</w:t>
      </w:r>
    </w:p>
    <w:p>
      <w:pPr>
        <w:spacing w:line="360" w:lineRule="auto"/>
        <w:ind w:firstLine="482" w:firstLineChars="200"/>
        <w:rPr>
          <w:rFonts w:hint="default" w:eastAsia="宋体"/>
          <w:b/>
          <w:sz w:val="24"/>
          <w:szCs w:val="22"/>
          <w:lang w:val="en-US" w:eastAsia="zh-CN"/>
        </w:rPr>
      </w:pPr>
      <w:r>
        <w:rPr>
          <w:b/>
          <w:sz w:val="24"/>
          <w:szCs w:val="22"/>
        </w:rPr>
        <w:t>（七）论文评审</w:t>
      </w:r>
      <w:r>
        <w:rPr>
          <w:rFonts w:hint="eastAsia"/>
          <w:b/>
          <w:sz w:val="24"/>
          <w:szCs w:val="22"/>
          <w:lang w:val="en-US" w:eastAsia="zh-CN"/>
        </w:rPr>
        <w:t xml:space="preserve"> Thesis Review</w:t>
      </w:r>
    </w:p>
    <w:p>
      <w:pPr>
        <w:spacing w:line="360" w:lineRule="auto"/>
        <w:ind w:firstLine="480" w:firstLineChars="200"/>
        <w:rPr>
          <w:rFonts w:hint="eastAsia"/>
          <w:sz w:val="24"/>
          <w:szCs w:val="22"/>
        </w:rPr>
      </w:pPr>
      <w:r>
        <w:rPr>
          <w:sz w:val="24"/>
          <w:szCs w:val="22"/>
        </w:rPr>
        <w:t>硕士专业学位研究生完成规定的课程学分、必修环节学分，文献综述、开题报告、中期检查、成果要求、论文预答辩等环节考核合格，经学院审查通过后，可申请进入学位论文评审程序</w:t>
      </w:r>
      <w:r>
        <w:rPr>
          <w:rFonts w:hint="eastAsia"/>
          <w:sz w:val="24"/>
          <w:szCs w:val="22"/>
        </w:rPr>
        <w:t>。</w:t>
      </w:r>
    </w:p>
    <w:p>
      <w:pPr>
        <w:spacing w:line="360" w:lineRule="auto"/>
        <w:ind w:firstLine="480" w:firstLineChars="200"/>
        <w:rPr>
          <w:sz w:val="24"/>
          <w:szCs w:val="22"/>
        </w:rPr>
      </w:pPr>
      <w:r>
        <w:rPr>
          <w:sz w:val="24"/>
          <w:szCs w:val="22"/>
        </w:rPr>
        <w:t>学位论文评审工作由学院负责组织。学位论文须由2名软件工程专业类别（领域）或相关领域的具有高级专业技术职务的专家评审，其中校内专家1人，企业（行业）或实际部门专家1人，研究生导师不能作为学位论文正式评审人。</w:t>
      </w:r>
    </w:p>
    <w:p>
      <w:pPr>
        <w:spacing w:line="360" w:lineRule="auto"/>
        <w:ind w:firstLine="480" w:firstLineChars="200"/>
        <w:rPr>
          <w:rFonts w:hint="eastAsia"/>
          <w:sz w:val="24"/>
          <w:szCs w:val="22"/>
        </w:rPr>
      </w:pPr>
      <w:r>
        <w:rPr>
          <w:rFonts w:hint="eastAsia"/>
          <w:sz w:val="24"/>
          <w:szCs w:val="22"/>
        </w:rPr>
        <w:t xml:space="preserve">Postgraduates with master's degree can apply to </w:t>
      </w:r>
      <w:r>
        <w:rPr>
          <w:rFonts w:hint="eastAsia"/>
          <w:sz w:val="24"/>
          <w:szCs w:val="22"/>
          <w:lang w:val="en-US" w:eastAsia="zh-CN"/>
        </w:rPr>
        <w:t>thesis review</w:t>
      </w:r>
      <w:r>
        <w:rPr>
          <w:rFonts w:hint="eastAsia"/>
          <w:sz w:val="24"/>
          <w:szCs w:val="22"/>
        </w:rPr>
        <w:t xml:space="preserve"> after completing the required course credits, compulsory link credits, literature review, </w:t>
      </w:r>
      <w:r>
        <w:rPr>
          <w:rFonts w:hint="eastAsia"/>
          <w:sz w:val="24"/>
          <w:szCs w:val="22"/>
          <w:lang w:val="en-US" w:eastAsia="zh-CN"/>
        </w:rPr>
        <w:t>proposal</w:t>
      </w:r>
      <w:r>
        <w:rPr>
          <w:rFonts w:hint="eastAsia"/>
          <w:sz w:val="24"/>
          <w:szCs w:val="22"/>
        </w:rPr>
        <w:t xml:space="preserve">, </w:t>
      </w:r>
      <w:r>
        <w:rPr>
          <w:rFonts w:hint="eastAsia"/>
          <w:sz w:val="24"/>
          <w:szCs w:val="22"/>
          <w:lang w:val="en-US" w:eastAsia="zh-CN"/>
        </w:rPr>
        <w:t>interim</w:t>
      </w:r>
      <w:r>
        <w:rPr>
          <w:rFonts w:hint="eastAsia"/>
          <w:sz w:val="24"/>
          <w:szCs w:val="22"/>
        </w:rPr>
        <w:t>, achievement requirements, and pre-defense.</w:t>
      </w:r>
    </w:p>
    <w:p>
      <w:pPr>
        <w:spacing w:line="360" w:lineRule="auto"/>
        <w:ind w:firstLine="480" w:firstLineChars="200"/>
        <w:rPr>
          <w:sz w:val="24"/>
          <w:szCs w:val="22"/>
        </w:rPr>
      </w:pPr>
      <w:r>
        <w:rPr>
          <w:rFonts w:hint="eastAsia"/>
          <w:sz w:val="24"/>
          <w:szCs w:val="22"/>
        </w:rPr>
        <w:t>The</w:t>
      </w:r>
      <w:r>
        <w:rPr>
          <w:rFonts w:hint="eastAsia"/>
          <w:sz w:val="24"/>
          <w:szCs w:val="22"/>
          <w:lang w:val="en-US" w:eastAsia="zh-CN"/>
        </w:rPr>
        <w:t>sis review</w:t>
      </w:r>
      <w:r>
        <w:rPr>
          <w:rFonts w:hint="eastAsia"/>
          <w:sz w:val="24"/>
          <w:szCs w:val="22"/>
        </w:rPr>
        <w:t xml:space="preserve"> is organized by the college. </w:t>
      </w:r>
      <w:r>
        <w:rPr>
          <w:rFonts w:hint="eastAsia"/>
          <w:sz w:val="24"/>
          <w:szCs w:val="22"/>
          <w:lang w:val="en-US" w:eastAsia="zh-CN"/>
        </w:rPr>
        <w:t>Thesis</w:t>
      </w:r>
      <w:r>
        <w:rPr>
          <w:rFonts w:hint="eastAsia"/>
          <w:sz w:val="24"/>
          <w:szCs w:val="22"/>
        </w:rPr>
        <w:t xml:space="preserve"> must be reviewed by two experts with senior professional and technical positions in software engineering professional categories (fields) or related fields, including one internal expert, one enterprise (industry) or actual department expert, and postgraduate tutors cannot be the formal reviewers of dissertations.</w:t>
      </w:r>
    </w:p>
    <w:p>
      <w:pPr>
        <w:spacing w:line="360" w:lineRule="auto"/>
        <w:ind w:firstLine="482" w:firstLineChars="200"/>
        <w:rPr>
          <w:rFonts w:hint="default" w:eastAsia="宋体"/>
          <w:b/>
          <w:sz w:val="24"/>
          <w:szCs w:val="22"/>
          <w:lang w:val="en-US" w:eastAsia="zh-CN"/>
        </w:rPr>
      </w:pPr>
      <w:r>
        <w:rPr>
          <w:b/>
          <w:sz w:val="24"/>
          <w:szCs w:val="22"/>
        </w:rPr>
        <w:t>（八）论文答辩</w:t>
      </w:r>
      <w:r>
        <w:rPr>
          <w:rFonts w:hint="eastAsia"/>
          <w:b/>
          <w:sz w:val="24"/>
          <w:szCs w:val="22"/>
          <w:lang w:val="en-US" w:eastAsia="zh-CN"/>
        </w:rPr>
        <w:t xml:space="preserve"> Defence</w:t>
      </w:r>
    </w:p>
    <w:p>
      <w:pPr>
        <w:spacing w:line="520" w:lineRule="exact"/>
        <w:ind w:firstLine="480" w:firstLineChars="200"/>
        <w:rPr>
          <w:sz w:val="24"/>
          <w:szCs w:val="22"/>
        </w:rPr>
      </w:pPr>
      <w:r>
        <w:rPr>
          <w:sz w:val="24"/>
          <w:szCs w:val="22"/>
        </w:rPr>
        <w:t>专业学位论文答辩时间距提交开题报告时间不低于12个月。研究生完成并通过文献综述、开题报告、中期检查等培养方案规定的所有环节，课程（含专业实践）成绩合格，达到培养方案规定的学分要求，方可申请参加学位论文答辩。学位论文答辩工作由学院统一组织并集中安排。答辩委员会应按相应专业教育指导委员会的要求组成。指导教师不能作为论文答辩委员会成员。学位论文答辩工作按照《东北大学授予研究生学位的工作细则》进行。</w:t>
      </w:r>
    </w:p>
    <w:p>
      <w:pPr>
        <w:spacing w:line="520" w:lineRule="exact"/>
        <w:ind w:firstLine="480" w:firstLineChars="200"/>
        <w:rPr>
          <w:sz w:val="24"/>
          <w:szCs w:val="22"/>
        </w:rPr>
      </w:pPr>
      <w:r>
        <w:rPr>
          <w:rFonts w:hint="eastAsia"/>
          <w:sz w:val="24"/>
          <w:szCs w:val="22"/>
        </w:rPr>
        <w:t xml:space="preserve">The time for defending professional dissertations is not less than 12 months from the time for submitting the </w:t>
      </w:r>
      <w:r>
        <w:rPr>
          <w:rFonts w:hint="eastAsia"/>
          <w:sz w:val="24"/>
          <w:szCs w:val="22"/>
          <w:lang w:val="en-US" w:eastAsia="zh-CN"/>
        </w:rPr>
        <w:t>proposal</w:t>
      </w:r>
      <w:r>
        <w:rPr>
          <w:rFonts w:hint="eastAsia"/>
          <w:sz w:val="24"/>
          <w:szCs w:val="22"/>
        </w:rPr>
        <w:t>. Postgraduates can apply for</w:t>
      </w:r>
      <w:r>
        <w:rPr>
          <w:rFonts w:hint="eastAsia"/>
          <w:sz w:val="24"/>
          <w:szCs w:val="22"/>
          <w:lang w:val="en-US" w:eastAsia="zh-CN"/>
        </w:rPr>
        <w:t xml:space="preserve"> </w:t>
      </w:r>
      <w:r>
        <w:rPr>
          <w:rFonts w:hint="eastAsia"/>
          <w:sz w:val="24"/>
          <w:szCs w:val="22"/>
        </w:rPr>
        <w:t xml:space="preserve">defense only after completing and passing all the </w:t>
      </w:r>
      <w:r>
        <w:rPr>
          <w:rFonts w:hint="eastAsia"/>
          <w:sz w:val="24"/>
          <w:szCs w:val="22"/>
          <w:lang w:val="en-US" w:eastAsia="zh-CN"/>
        </w:rPr>
        <w:t>sessions</w:t>
      </w:r>
      <w:r>
        <w:rPr>
          <w:rFonts w:hint="eastAsia"/>
          <w:sz w:val="24"/>
          <w:szCs w:val="22"/>
        </w:rPr>
        <w:t xml:space="preserve"> stipulated in the training program, such as literature review, </w:t>
      </w:r>
      <w:r>
        <w:rPr>
          <w:rFonts w:hint="eastAsia"/>
          <w:sz w:val="24"/>
          <w:szCs w:val="22"/>
          <w:lang w:val="en-US" w:eastAsia="zh-CN"/>
        </w:rPr>
        <w:t>proposal</w:t>
      </w:r>
      <w:r>
        <w:rPr>
          <w:rFonts w:hint="eastAsia"/>
          <w:sz w:val="24"/>
          <w:szCs w:val="22"/>
        </w:rPr>
        <w:t xml:space="preserve"> and </w:t>
      </w:r>
      <w:r>
        <w:rPr>
          <w:rFonts w:hint="eastAsia"/>
          <w:sz w:val="24"/>
          <w:szCs w:val="22"/>
          <w:lang w:val="en-US" w:eastAsia="zh-CN"/>
        </w:rPr>
        <w:t>interim report</w:t>
      </w:r>
      <w:r>
        <w:rPr>
          <w:rFonts w:hint="eastAsia"/>
          <w:sz w:val="24"/>
          <w:szCs w:val="22"/>
        </w:rPr>
        <w:t>, and passing the course (including professional practice) scores and meeting the credit requirements stipulated in the training program. The</w:t>
      </w:r>
      <w:r>
        <w:rPr>
          <w:rFonts w:hint="eastAsia"/>
          <w:sz w:val="24"/>
          <w:szCs w:val="22"/>
          <w:lang w:val="en-US" w:eastAsia="zh-CN"/>
        </w:rPr>
        <w:t xml:space="preserve"> </w:t>
      </w:r>
      <w:r>
        <w:rPr>
          <w:rFonts w:hint="eastAsia"/>
          <w:sz w:val="24"/>
          <w:szCs w:val="22"/>
        </w:rPr>
        <w:t xml:space="preserve">defense is organized and arranged by the college. The defense committee shall be composed according to the requirements of the corresponding professional education steering committee. Instructors cannot be members of the thesis defense committee. The defense </w:t>
      </w:r>
      <w:r>
        <w:rPr>
          <w:rFonts w:hint="eastAsia"/>
          <w:sz w:val="24"/>
          <w:szCs w:val="22"/>
          <w:lang w:val="en-US" w:eastAsia="zh-CN"/>
        </w:rPr>
        <w:t>i</w:t>
      </w:r>
      <w:r>
        <w:rPr>
          <w:rFonts w:hint="eastAsia"/>
          <w:sz w:val="24"/>
          <w:szCs w:val="22"/>
        </w:rPr>
        <w:t>s carried out in accordance with</w:t>
      </w:r>
      <w:r>
        <w:rPr>
          <w:rFonts w:hint="eastAsia"/>
          <w:sz w:val="24"/>
          <w:szCs w:val="22"/>
          <w:lang w:val="en-US" w:eastAsia="zh-CN"/>
        </w:rPr>
        <w:t xml:space="preserve"> Regulations</w:t>
      </w:r>
      <w:r>
        <w:rPr>
          <w:rFonts w:hint="eastAsia"/>
          <w:sz w:val="24"/>
          <w:szCs w:val="22"/>
        </w:rPr>
        <w:t xml:space="preserve"> for Granting Postgraduate Degree in Northeastern University.</w:t>
      </w:r>
    </w:p>
    <w:p>
      <w:pPr>
        <w:spacing w:line="520" w:lineRule="exact"/>
        <w:ind w:firstLine="480" w:firstLineChars="200"/>
        <w:rPr>
          <w:rFonts w:hint="eastAsia"/>
          <w:sz w:val="24"/>
          <w:szCs w:val="22"/>
        </w:rPr>
      </w:pPr>
      <w:r>
        <w:rPr>
          <w:rFonts w:hint="eastAsia"/>
          <w:sz w:val="24"/>
          <w:szCs w:val="22"/>
        </w:rPr>
        <w:t>研究生在学校规定的年限内，修完培养方案规定内容，成绩合格，完成学位论文并通过学位论文答辩的，准予毕业，学校发给毕业证书。经学院学位评定分委员会审核、校学位评定委员会审定通过后，授予相应学位，发给相应学位证书。</w:t>
      </w:r>
    </w:p>
    <w:p>
      <w:pPr>
        <w:spacing w:line="520" w:lineRule="exact"/>
        <w:ind w:firstLine="480" w:firstLineChars="200"/>
        <w:rPr>
          <w:rFonts w:hint="eastAsia"/>
          <w:sz w:val="24"/>
          <w:szCs w:val="22"/>
        </w:rPr>
      </w:pPr>
      <w:r>
        <w:rPr>
          <w:rFonts w:hint="eastAsia"/>
          <w:sz w:val="24"/>
          <w:szCs w:val="22"/>
        </w:rPr>
        <w:t xml:space="preserve">Graduate students who have completed the contents stipulated in the training plan, passed the grades, completed the </w:t>
      </w:r>
      <w:r>
        <w:rPr>
          <w:rFonts w:hint="eastAsia"/>
          <w:sz w:val="24"/>
          <w:szCs w:val="22"/>
          <w:lang w:val="en-US" w:eastAsia="zh-CN"/>
        </w:rPr>
        <w:t>thesis</w:t>
      </w:r>
      <w:r>
        <w:rPr>
          <w:rFonts w:hint="eastAsia"/>
          <w:sz w:val="24"/>
          <w:szCs w:val="22"/>
        </w:rPr>
        <w:t xml:space="preserve"> and passed the </w:t>
      </w:r>
      <w:r>
        <w:rPr>
          <w:rFonts w:hint="eastAsia"/>
          <w:sz w:val="24"/>
          <w:szCs w:val="22"/>
          <w:lang w:val="en-US" w:eastAsia="zh-CN"/>
        </w:rPr>
        <w:t>thesis</w:t>
      </w:r>
      <w:r>
        <w:rPr>
          <w:rFonts w:hint="eastAsia"/>
          <w:sz w:val="24"/>
          <w:szCs w:val="22"/>
        </w:rPr>
        <w:t xml:space="preserve"> defense within the time limit stipulated by the school are allowed to graduate, and the school will issue a graduation certificate. After being examined by the Academic Degree Evaluation Sub-Committee of the College and approved by the Academic Degree Evaluation Committee of the School, the corresponding degree will be awarded and the corresponding degree certificate will be issued.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A874E"/>
    <w:multiLevelType w:val="singleLevel"/>
    <w:tmpl w:val="D5EA874E"/>
    <w:lvl w:ilvl="0" w:tentative="0">
      <w:start w:val="1"/>
      <w:numFmt w:val="chineseCounting"/>
      <w:suff w:val="nothing"/>
      <w:lvlText w:val="（%1）"/>
      <w:lvlJc w:val="left"/>
      <w:rPr>
        <w:rFonts w:hint="eastAsia"/>
      </w:rPr>
    </w:lvl>
  </w:abstractNum>
  <w:abstractNum w:abstractNumId="1">
    <w:nsid w:val="E5019DCC"/>
    <w:multiLevelType w:val="singleLevel"/>
    <w:tmpl w:val="E5019DCC"/>
    <w:lvl w:ilvl="0" w:tentative="0">
      <w:start w:val="2"/>
      <w:numFmt w:val="chineseCounting"/>
      <w:suff w:val="nothing"/>
      <w:lvlText w:val="%1、"/>
      <w:lvlJc w:val="left"/>
      <w:rPr>
        <w:rFonts w:hint="eastAsia"/>
      </w:rPr>
    </w:lvl>
  </w:abstractNum>
  <w:abstractNum w:abstractNumId="2">
    <w:nsid w:val="1388D7E1"/>
    <w:multiLevelType w:val="singleLevel"/>
    <w:tmpl w:val="1388D7E1"/>
    <w:lvl w:ilvl="0" w:tentative="0">
      <w:start w:val="5"/>
      <w:numFmt w:val="chineseCounting"/>
      <w:suff w:val="nothing"/>
      <w:lvlText w:val="（%1）"/>
      <w:lvlJc w:val="left"/>
      <w:rPr>
        <w:rFonts w:hint="eastAsia"/>
      </w:rPr>
    </w:lvl>
  </w:abstractNum>
  <w:abstractNum w:abstractNumId="3">
    <w:nsid w:val="166BEFE8"/>
    <w:multiLevelType w:val="singleLevel"/>
    <w:tmpl w:val="166BEFE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jBhYjg2OTY5MjJmMjMzZmRlN2IyYTc1ODY4MzgifQ=="/>
  </w:docVars>
  <w:rsids>
    <w:rsidRoot w:val="3E4A2FB4"/>
    <w:rsid w:val="047516A2"/>
    <w:rsid w:val="1FC17307"/>
    <w:rsid w:val="276668D4"/>
    <w:rsid w:val="3CEF368A"/>
    <w:rsid w:val="3E4A2FB4"/>
    <w:rsid w:val="454634FE"/>
    <w:rsid w:val="50A258A7"/>
    <w:rsid w:val="51CD2B4B"/>
    <w:rsid w:val="67AF657A"/>
    <w:rsid w:val="76FC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5311</Words>
  <Characters>14734</Characters>
  <Lines>0</Lines>
  <Paragraphs>0</Paragraphs>
  <TotalTime>7</TotalTime>
  <ScaleCrop>false</ScaleCrop>
  <LinksUpToDate>false</LinksUpToDate>
  <CharactersWithSpaces>16544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2022-08-28T03:35:00Z</dcterms:created>
  <dc:creator>Ada QueenKong</dc:creator>
  <cp:lastModifiedBy>Ada QueenKong</cp:lastModifiedBy>
  <dcterms:modified xsi:type="dcterms:W3CDTF">2023-03-24T02:16:37Z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692195F83EDE40BBB622BBD386581F2C</vt:lpwstr>
  </property>
</Properties>
</file>